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2976"/>
      </w:tblGrid>
      <w:tr w:rsidR="00FB7A4D" w:rsidRPr="00FB0FC6" w14:paraId="341B0359" w14:textId="77777777" w:rsidTr="00B3119A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707FD" w14:textId="77777777" w:rsidR="00FB7A4D" w:rsidRPr="00FB0FC6" w:rsidRDefault="00FB7A4D" w:rsidP="00B3119A">
            <w:pPr>
              <w:tabs>
                <w:tab w:val="left" w:pos="392"/>
              </w:tabs>
              <w:adjustRightInd w:val="0"/>
              <w:ind w:left="108" w:right="103"/>
              <w:rPr>
                <w:rFonts w:ascii="Georgia" w:hAnsi="Georgia" w:cs="Arial"/>
              </w:rPr>
            </w:pPr>
            <w:r w:rsidRPr="00FB0FC6">
              <w:rPr>
                <w:rFonts w:ascii="Georgia" w:hAnsi="Georgia" w:cs="Arial"/>
                <w:noProof/>
                <w:lang w:val="fr-FR" w:eastAsia="fr-FR"/>
              </w:rPr>
              <w:drawing>
                <wp:inline distT="0" distB="0" distL="0" distR="0" wp14:anchorId="5630A815" wp14:editId="23AD1ACD">
                  <wp:extent cx="1732915" cy="712470"/>
                  <wp:effectExtent l="0" t="0" r="635" b="0"/>
                  <wp:docPr id="1346717571" name="Image 11" descr="Une image contenant Police, blanc, logo,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717571" name="Image 11" descr="Une image contenant Police, blanc, logo,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A55CC" w14:textId="77777777" w:rsidR="00FB7A4D" w:rsidRPr="00FB0FC6" w:rsidRDefault="00FB7A4D" w:rsidP="00B3119A">
            <w:pPr>
              <w:adjustRightInd w:val="0"/>
              <w:rPr>
                <w:rFonts w:ascii="Georgia" w:hAnsi="Georgia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3A2144" w14:textId="77777777" w:rsidR="00FB7A4D" w:rsidRPr="00FB0FC6" w:rsidRDefault="00FB7A4D" w:rsidP="00B3119A">
            <w:pPr>
              <w:adjustRightInd w:val="0"/>
              <w:rPr>
                <w:rFonts w:ascii="Georgia" w:hAnsi="Georgia" w:cs="Arial"/>
              </w:rPr>
            </w:pPr>
          </w:p>
        </w:tc>
      </w:tr>
    </w:tbl>
    <w:p w14:paraId="0B5C386A" w14:textId="77777777" w:rsidR="00FB7A4D" w:rsidRPr="00FB0FC6" w:rsidRDefault="00FB7A4D" w:rsidP="00FB7A4D">
      <w:pPr>
        <w:keepLines/>
        <w:tabs>
          <w:tab w:val="left" w:pos="392"/>
        </w:tabs>
        <w:adjustRightInd w:val="0"/>
        <w:ind w:left="117" w:right="111"/>
        <w:jc w:val="both"/>
        <w:rPr>
          <w:rFonts w:ascii="Georgia" w:hAnsi="Georgia" w:cs="Arial"/>
          <w:color w:val="000000"/>
          <w:szCs w:val="20"/>
        </w:rPr>
      </w:pPr>
    </w:p>
    <w:p w14:paraId="6BECEE22" w14:textId="77777777" w:rsidR="00FB7A4D" w:rsidRPr="00FB0FC6" w:rsidRDefault="00FB7A4D" w:rsidP="00FB7A4D">
      <w:pPr>
        <w:keepLines/>
        <w:tabs>
          <w:tab w:val="left" w:pos="392"/>
        </w:tabs>
        <w:adjustRightInd w:val="0"/>
        <w:ind w:left="117" w:right="111"/>
        <w:jc w:val="both"/>
        <w:rPr>
          <w:rFonts w:ascii="Georgia" w:hAnsi="Georgia" w:cs="Arial"/>
          <w:color w:val="00000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FB7A4D" w:rsidRPr="00FB0FC6" w14:paraId="24B4D672" w14:textId="77777777" w:rsidTr="00B3119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B786DF5" w14:textId="77777777" w:rsidR="00FB7A4D" w:rsidRPr="001A7EBC" w:rsidRDefault="00FB7A4D" w:rsidP="00B3119A">
            <w:pPr>
              <w:adjustRightInd w:val="0"/>
              <w:ind w:left="108" w:right="104"/>
              <w:rPr>
                <w:rFonts w:ascii="Georgia" w:hAnsi="Georgia" w:cs="Arial"/>
                <w:color w:val="FFFFFF"/>
                <w:sz w:val="28"/>
                <w:szCs w:val="28"/>
                <w:lang w:val="fr-FR"/>
              </w:rPr>
            </w:pPr>
            <w:r w:rsidRPr="001A7EBC">
              <w:rPr>
                <w:rFonts w:ascii="Georgia" w:hAnsi="Georgia" w:cs="Arial"/>
                <w:color w:val="FFFFFF"/>
                <w:sz w:val="28"/>
                <w:szCs w:val="28"/>
                <w:lang w:val="fr-FR"/>
              </w:rPr>
              <w:t>Ecole normale supérieure - PSL</w:t>
            </w:r>
          </w:p>
          <w:p w14:paraId="561F4783" w14:textId="77777777" w:rsidR="00FB7A4D" w:rsidRPr="001A7EBC" w:rsidRDefault="00FB7A4D" w:rsidP="00B3119A">
            <w:pPr>
              <w:adjustRightInd w:val="0"/>
              <w:ind w:left="108" w:right="104"/>
              <w:rPr>
                <w:rFonts w:ascii="Georgia" w:hAnsi="Georgia" w:cs="Arial"/>
                <w:lang w:val="fr-FR"/>
              </w:rPr>
            </w:pPr>
            <w:r w:rsidRPr="001A7EBC">
              <w:rPr>
                <w:rFonts w:ascii="Georgia" w:hAnsi="Georgia" w:cs="Arial"/>
                <w:color w:val="FFFFFF"/>
                <w:lang w:val="fr-FR"/>
              </w:rPr>
              <w:t>Service Logistique et technique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9076202" w14:textId="77777777" w:rsidR="00FB7A4D" w:rsidRPr="001A7EBC" w:rsidRDefault="00FB7A4D" w:rsidP="00B3119A">
            <w:pPr>
              <w:adjustRightInd w:val="0"/>
              <w:ind w:left="112" w:right="87"/>
              <w:jc w:val="right"/>
              <w:rPr>
                <w:rFonts w:ascii="Georgia" w:hAnsi="Georgia" w:cs="Arial"/>
                <w:color w:val="000000"/>
                <w:sz w:val="28"/>
                <w:szCs w:val="28"/>
                <w:lang w:val="fr-FR"/>
              </w:rPr>
            </w:pPr>
          </w:p>
          <w:p w14:paraId="7B478C0A" w14:textId="77777777" w:rsidR="00FB7A4D" w:rsidRPr="00FB0FC6" w:rsidRDefault="00FB7A4D" w:rsidP="00B3119A">
            <w:pPr>
              <w:adjustRightInd w:val="0"/>
              <w:ind w:left="112" w:right="87"/>
              <w:jc w:val="right"/>
              <w:rPr>
                <w:rFonts w:ascii="Georgia" w:hAnsi="Georgia" w:cs="Arial"/>
                <w:b/>
                <w:bCs/>
                <w:color w:val="000000"/>
                <w:sz w:val="30"/>
                <w:szCs w:val="30"/>
              </w:rPr>
            </w:pPr>
            <w:r w:rsidRPr="00FB0FC6">
              <w:rPr>
                <w:rFonts w:ascii="Georgia" w:hAnsi="Georgia" w:cs="Arial"/>
                <w:b/>
                <w:bCs/>
                <w:color w:val="000000"/>
                <w:sz w:val="30"/>
                <w:szCs w:val="30"/>
              </w:rPr>
              <w:t>CONVENTION D’AOT</w:t>
            </w:r>
          </w:p>
          <w:p w14:paraId="02D44702" w14:textId="77777777" w:rsidR="00FB7A4D" w:rsidRPr="00FB0FC6" w:rsidRDefault="00FB7A4D" w:rsidP="00B3119A">
            <w:pPr>
              <w:adjustRightInd w:val="0"/>
              <w:ind w:left="112" w:right="87"/>
              <w:jc w:val="right"/>
              <w:rPr>
                <w:rFonts w:ascii="Georgia" w:hAnsi="Georgia" w:cs="Arial"/>
              </w:rPr>
            </w:pPr>
          </w:p>
        </w:tc>
      </w:tr>
    </w:tbl>
    <w:p w14:paraId="4893882A" w14:textId="77777777" w:rsidR="00FB7A4D" w:rsidRPr="00FB0FC6" w:rsidRDefault="00FB7A4D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</w:rPr>
      </w:pPr>
    </w:p>
    <w:p w14:paraId="5EDB9F4E" w14:textId="77777777" w:rsidR="00FB7A4D" w:rsidRPr="00FB0FC6" w:rsidRDefault="00FB7A4D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</w:rPr>
      </w:pPr>
    </w:p>
    <w:p w14:paraId="588F2968" w14:textId="77777777" w:rsidR="00FB7A4D" w:rsidRPr="001A7EBC" w:rsidRDefault="00FB7A4D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  <w:lang w:val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1A7EBC" w:rsidRPr="00D2631D" w14:paraId="7C02B49D" w14:textId="77777777" w:rsidTr="00D271A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1866C011" w14:textId="77777777" w:rsidR="001A7EBC" w:rsidRPr="001A7EBC" w:rsidRDefault="001A7EBC" w:rsidP="00D271AD">
            <w:pPr>
              <w:adjustRightInd w:val="0"/>
              <w:spacing w:before="260" w:after="260"/>
              <w:ind w:left="108" w:right="96"/>
              <w:jc w:val="center"/>
              <w:rPr>
                <w:rFonts w:cs="Arial"/>
                <w:b/>
                <w:color w:val="FFFFFF" w:themeColor="background1"/>
                <w:sz w:val="52"/>
                <w:szCs w:val="52"/>
                <w:lang w:val="fr-FR"/>
              </w:rPr>
            </w:pPr>
            <w:r w:rsidRPr="001A7EBC">
              <w:rPr>
                <w:rFonts w:cs="Arial"/>
                <w:b/>
                <w:bCs/>
                <w:color w:val="FFFFFF" w:themeColor="background1"/>
                <w:sz w:val="52"/>
                <w:szCs w:val="52"/>
                <w:lang w:val="fr-FR"/>
              </w:rPr>
              <w:t>Convention emportant autorisation d’occupation temporaire sur le domaine public de l’ENS-PSL (AOT)</w:t>
            </w:r>
            <w:r w:rsidRPr="001A7EBC">
              <w:rPr>
                <w:rFonts w:cs="Arial"/>
                <w:b/>
                <w:color w:val="FFFFFF" w:themeColor="background1"/>
                <w:sz w:val="52"/>
                <w:szCs w:val="52"/>
                <w:lang w:val="fr-FR"/>
              </w:rPr>
              <w:t xml:space="preserve"> </w:t>
            </w:r>
          </w:p>
          <w:p w14:paraId="38E31E00" w14:textId="6C2C7A38" w:rsidR="001A7EBC" w:rsidRPr="001A7EBC" w:rsidRDefault="001A7EBC" w:rsidP="00D271AD">
            <w:pPr>
              <w:adjustRightInd w:val="0"/>
              <w:spacing w:before="260" w:after="260"/>
              <w:ind w:left="108" w:right="96"/>
              <w:jc w:val="center"/>
              <w:rPr>
                <w:rFonts w:cs="Arial"/>
                <w:color w:val="FFFFFF" w:themeColor="background1"/>
                <w:lang w:val="fr-FR"/>
              </w:rPr>
            </w:pPr>
            <w:r w:rsidRPr="001A7EBC">
              <w:rPr>
                <w:rFonts w:cs="Arial"/>
                <w:b/>
                <w:color w:val="FFFFFF" w:themeColor="background1"/>
                <w:sz w:val="36"/>
                <w:szCs w:val="36"/>
                <w:lang w:val="fr-FR"/>
              </w:rPr>
              <w:t>à des fins d’installation, exploitation et maintenance de trois espaces de laveries</w:t>
            </w:r>
            <w:r w:rsidR="00DC6284">
              <w:rPr>
                <w:rFonts w:cs="Arial"/>
                <w:b/>
                <w:color w:val="FFFFFF" w:themeColor="background1"/>
                <w:sz w:val="36"/>
                <w:szCs w:val="36"/>
                <w:lang w:val="fr-FR"/>
              </w:rPr>
              <w:t xml:space="preserve"> en</w:t>
            </w:r>
            <w:r w:rsidRPr="001A7EBC">
              <w:rPr>
                <w:rFonts w:cs="Arial"/>
                <w:b/>
                <w:color w:val="FFFFFF" w:themeColor="background1"/>
                <w:sz w:val="36"/>
                <w:szCs w:val="36"/>
                <w:lang w:val="fr-FR"/>
              </w:rPr>
              <w:t xml:space="preserve"> libre-service à destination principale des résidents des internats </w:t>
            </w:r>
            <w:r w:rsidR="00BB6AB5">
              <w:rPr>
                <w:rFonts w:cs="Arial"/>
                <w:b/>
                <w:color w:val="FFFFFF" w:themeColor="background1"/>
                <w:sz w:val="36"/>
                <w:szCs w:val="36"/>
                <w:lang w:val="fr-FR"/>
              </w:rPr>
              <w:t xml:space="preserve">de </w:t>
            </w:r>
            <w:r w:rsidRPr="001A7EBC">
              <w:rPr>
                <w:rFonts w:cs="Arial"/>
                <w:b/>
                <w:color w:val="FFFFFF" w:themeColor="background1"/>
                <w:sz w:val="36"/>
                <w:szCs w:val="36"/>
                <w:lang w:val="fr-FR"/>
              </w:rPr>
              <w:t>l’Ecole normale supérieure - PSL</w:t>
            </w:r>
          </w:p>
        </w:tc>
      </w:tr>
    </w:tbl>
    <w:p w14:paraId="500996ED" w14:textId="77777777" w:rsidR="001A7EBC" w:rsidRDefault="001A7EBC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  <w:lang w:val="fr-FR"/>
        </w:rPr>
      </w:pPr>
    </w:p>
    <w:p w14:paraId="00174961" w14:textId="77777777" w:rsidR="001A7EBC" w:rsidRPr="001A7EBC" w:rsidRDefault="001A7EBC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  <w:lang w:val="fr-FR"/>
        </w:rPr>
      </w:pPr>
    </w:p>
    <w:p w14:paraId="07346196" w14:textId="77777777" w:rsidR="00FB7A4D" w:rsidRPr="001A7EBC" w:rsidRDefault="00FB7A4D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  <w:lang w:val="fr-FR"/>
        </w:rPr>
      </w:pPr>
    </w:p>
    <w:p w14:paraId="7F90730E" w14:textId="77777777" w:rsidR="00FB7A4D" w:rsidRPr="001A7EBC" w:rsidRDefault="00FB7A4D" w:rsidP="00FB7A4D">
      <w:pPr>
        <w:adjustRightInd w:val="0"/>
        <w:ind w:left="117" w:right="111"/>
        <w:rPr>
          <w:rFonts w:ascii="Georgia" w:hAnsi="Georgia" w:cs="Arial"/>
          <w:color w:val="000000"/>
          <w:szCs w:val="20"/>
          <w:lang w:val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FB7A4D" w:rsidRPr="00D2631D" w14:paraId="49EE4DEF" w14:textId="77777777" w:rsidTr="00B3119A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4675ADC5" w14:textId="77777777" w:rsidR="00FB7A4D" w:rsidRDefault="00FB7A4D" w:rsidP="00B3119A">
            <w:pPr>
              <w:adjustRightInd w:val="0"/>
              <w:spacing w:before="260" w:after="260"/>
              <w:ind w:left="108" w:right="96"/>
              <w:jc w:val="center"/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</w:pPr>
            <w:r w:rsidRPr="00FB7A4D"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  <w:t>Annexe 4 </w:t>
            </w:r>
            <w:r w:rsidR="006206D3"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  <w:t>à la convention :</w:t>
            </w:r>
          </w:p>
          <w:p w14:paraId="639AEFCC" w14:textId="69811B5A" w:rsidR="006206D3" w:rsidRPr="006206D3" w:rsidRDefault="006206D3" w:rsidP="00B3119A">
            <w:pPr>
              <w:adjustRightInd w:val="0"/>
              <w:spacing w:before="260" w:after="260"/>
              <w:ind w:left="108" w:right="96"/>
              <w:jc w:val="center"/>
              <w:rPr>
                <w:rFonts w:ascii="Georgia" w:hAnsi="Georgia" w:cs="Arial"/>
                <w:lang w:val="fr-FR"/>
              </w:rPr>
            </w:pPr>
            <w:bookmarkStart w:id="0" w:name="_Hlk214893078"/>
            <w:r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  <w:t xml:space="preserve">Tarif d’utilisation et </w:t>
            </w:r>
            <w:r w:rsidR="00281CE0"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  <w:t xml:space="preserve">pourcentages à prendre en compte pour le calcul de la part variable de la </w:t>
            </w:r>
            <w:r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  <w:t>r</w:t>
            </w:r>
            <w:r w:rsidRPr="006206D3">
              <w:rPr>
                <w:rFonts w:ascii="Georgia" w:hAnsi="Georgia" w:cs="Arial"/>
                <w:b/>
                <w:bCs/>
                <w:color w:val="FFFFFF"/>
                <w:sz w:val="40"/>
                <w:szCs w:val="40"/>
                <w:lang w:val="fr-FR"/>
              </w:rPr>
              <w:t>edevance</w:t>
            </w:r>
            <w:bookmarkEnd w:id="0"/>
          </w:p>
        </w:tc>
      </w:tr>
    </w:tbl>
    <w:p w14:paraId="1F1F8CCD" w14:textId="77777777" w:rsidR="00FB7A4D" w:rsidRDefault="00FB7A4D" w:rsidP="00B83845">
      <w:pPr>
        <w:pStyle w:val="Corpsdetexte"/>
        <w:spacing w:before="172"/>
        <w:ind w:left="215"/>
        <w:jc w:val="center"/>
        <w:rPr>
          <w:rFonts w:ascii="Georgia" w:hAnsi="Georgia"/>
          <w:b/>
          <w:bCs/>
          <w:sz w:val="20"/>
          <w:szCs w:val="20"/>
          <w:u w:val="single"/>
          <w:lang w:val="fr-FR"/>
        </w:rPr>
      </w:pPr>
    </w:p>
    <w:p w14:paraId="1B3ED857" w14:textId="77777777" w:rsidR="00FB7A4D" w:rsidRDefault="00FB7A4D" w:rsidP="00B83845">
      <w:pPr>
        <w:pStyle w:val="Corpsdetexte"/>
        <w:spacing w:before="172"/>
        <w:ind w:left="215"/>
        <w:jc w:val="center"/>
        <w:rPr>
          <w:rFonts w:ascii="Georgia" w:hAnsi="Georgia"/>
          <w:b/>
          <w:bCs/>
          <w:sz w:val="20"/>
          <w:szCs w:val="20"/>
          <w:u w:val="single"/>
          <w:lang w:val="fr-FR"/>
        </w:rPr>
      </w:pPr>
    </w:p>
    <w:p w14:paraId="3669E242" w14:textId="700C1E58" w:rsidR="001A7EBC" w:rsidRDefault="001A7EBC">
      <w:pPr>
        <w:widowControl/>
        <w:autoSpaceDE/>
        <w:autoSpaceDN/>
        <w:spacing w:after="160" w:line="259" w:lineRule="auto"/>
        <w:rPr>
          <w:rFonts w:ascii="Georgia" w:hAnsi="Georgia"/>
          <w:b/>
          <w:bCs/>
          <w:sz w:val="20"/>
          <w:szCs w:val="20"/>
          <w:u w:val="single"/>
          <w:lang w:val="fr-FR"/>
        </w:rPr>
      </w:pPr>
      <w:r>
        <w:rPr>
          <w:rFonts w:ascii="Georgia" w:hAnsi="Georgia"/>
          <w:b/>
          <w:bCs/>
          <w:sz w:val="20"/>
          <w:szCs w:val="20"/>
          <w:u w:val="single"/>
          <w:lang w:val="fr-FR"/>
        </w:rPr>
        <w:br w:type="page"/>
      </w:r>
    </w:p>
    <w:p w14:paraId="173BF116" w14:textId="0E20A7AA" w:rsidR="00B83845" w:rsidRPr="009B2F40" w:rsidRDefault="00B83845" w:rsidP="00B83845">
      <w:pPr>
        <w:pStyle w:val="Corpsdetexte"/>
        <w:spacing w:before="172"/>
        <w:ind w:left="215"/>
        <w:jc w:val="center"/>
        <w:rPr>
          <w:rFonts w:ascii="Georgia" w:hAnsi="Georgia"/>
          <w:b/>
          <w:bCs/>
          <w:sz w:val="20"/>
          <w:szCs w:val="20"/>
          <w:u w:val="single"/>
          <w:lang w:val="fr-FR"/>
        </w:rPr>
      </w:pPr>
      <w:r w:rsidRPr="009B2F40">
        <w:rPr>
          <w:rFonts w:ascii="Georgia" w:hAnsi="Georgia"/>
          <w:b/>
          <w:bCs/>
          <w:sz w:val="20"/>
          <w:szCs w:val="20"/>
          <w:u w:val="single"/>
          <w:lang w:val="fr-FR"/>
        </w:rPr>
        <w:lastRenderedPageBreak/>
        <w:t xml:space="preserve">À remplir par le candidat en vue de l’appréciation </w:t>
      </w:r>
      <w:r>
        <w:rPr>
          <w:rFonts w:ascii="Georgia" w:hAnsi="Georgia"/>
          <w:b/>
          <w:bCs/>
          <w:sz w:val="20"/>
          <w:szCs w:val="20"/>
          <w:u w:val="single"/>
          <w:lang w:val="fr-FR"/>
        </w:rPr>
        <w:t>la valeur financière de son offre</w:t>
      </w:r>
      <w:r w:rsidRPr="009B2F40">
        <w:rPr>
          <w:rFonts w:ascii="Georgia" w:hAnsi="Georgia"/>
          <w:b/>
          <w:bCs/>
          <w:sz w:val="20"/>
          <w:szCs w:val="20"/>
          <w:u w:val="single"/>
          <w:lang w:val="fr-FR"/>
        </w:rPr>
        <w:t>.</w:t>
      </w:r>
    </w:p>
    <w:p w14:paraId="719C8B7E" w14:textId="77777777" w:rsidR="00B83845" w:rsidRPr="00B85781" w:rsidRDefault="00B83845" w:rsidP="00B83845">
      <w:pPr>
        <w:pStyle w:val="Corpsdetexte"/>
        <w:rPr>
          <w:rFonts w:ascii="Georgia" w:hAnsi="Georgia"/>
          <w:sz w:val="20"/>
          <w:szCs w:val="20"/>
          <w:lang w:val="fr-FR"/>
        </w:rPr>
      </w:pPr>
    </w:p>
    <w:p w14:paraId="3DC12770" w14:textId="3FB3E383" w:rsidR="00B83845" w:rsidRPr="00B83845" w:rsidRDefault="00866D16" w:rsidP="00734644">
      <w:pPr>
        <w:pStyle w:val="Titre1"/>
      </w:pPr>
      <w:r>
        <w:t>Tarif d’utilisation</w:t>
      </w:r>
      <w:r w:rsidR="00B83845" w:rsidRPr="00B83845">
        <w:t xml:space="preserve"> :</w:t>
      </w:r>
    </w:p>
    <w:p w14:paraId="3612D099" w14:textId="77777777" w:rsidR="00B83845" w:rsidRPr="00B85781" w:rsidRDefault="00B83845" w:rsidP="00B83845">
      <w:pPr>
        <w:pStyle w:val="Corpsdetexte"/>
        <w:spacing w:before="9"/>
        <w:rPr>
          <w:rFonts w:ascii="Georgia" w:hAnsi="Georgia"/>
          <w:sz w:val="20"/>
          <w:szCs w:val="20"/>
          <w:lang w:val="fr-FR"/>
        </w:rPr>
      </w:pPr>
    </w:p>
    <w:p w14:paraId="063E581E" w14:textId="633D0A72" w:rsidR="00B83845" w:rsidRPr="00B83845" w:rsidRDefault="00B83845" w:rsidP="001A7EBC">
      <w:pPr>
        <w:spacing w:after="80"/>
        <w:rPr>
          <w:rFonts w:ascii="Georgia" w:eastAsia="Calibri" w:hAnsi="Georgia"/>
          <w:sz w:val="20"/>
          <w:szCs w:val="20"/>
          <w:lang w:val="fr-FR"/>
        </w:rPr>
      </w:pPr>
      <w:r w:rsidRPr="00B83845">
        <w:rPr>
          <w:rFonts w:ascii="Georgia" w:eastAsia="Calibri" w:hAnsi="Georgia"/>
          <w:sz w:val="20"/>
          <w:szCs w:val="20"/>
          <w:lang w:val="fr-FR"/>
        </w:rPr>
        <w:t>L’Exploitant</w:t>
      </w:r>
      <w:r w:rsidR="001A7EBC">
        <w:rPr>
          <w:rFonts w:ascii="Georgia" w:eastAsia="Calibri" w:hAnsi="Georgia"/>
          <w:sz w:val="20"/>
          <w:szCs w:val="20"/>
          <w:lang w:val="fr-FR"/>
        </w:rPr>
        <w:t xml:space="preserve"> s’engage à proposer les tarifs suivants :</w:t>
      </w:r>
    </w:p>
    <w:p w14:paraId="13751944" w14:textId="77777777" w:rsidR="00B83845" w:rsidRDefault="00B83845" w:rsidP="00B83845">
      <w:pPr>
        <w:spacing w:after="80"/>
        <w:rPr>
          <w:rFonts w:ascii="Georgia" w:eastAsia="Calibri" w:hAnsi="Georgia"/>
          <w:b/>
          <w:bCs/>
          <w:sz w:val="20"/>
          <w:szCs w:val="20"/>
          <w:lang w:val="fr-FR"/>
        </w:rPr>
      </w:pPr>
    </w:p>
    <w:tbl>
      <w:tblPr>
        <w:tblStyle w:val="Grilledutableau"/>
        <w:tblW w:w="0" w:type="auto"/>
        <w:tblInd w:w="-3" w:type="dxa"/>
        <w:tblLook w:val="04A0" w:firstRow="1" w:lastRow="0" w:firstColumn="1" w:lastColumn="0" w:noHBand="0" w:noVBand="1"/>
      </w:tblPr>
      <w:tblGrid>
        <w:gridCol w:w="8"/>
        <w:gridCol w:w="3823"/>
        <w:gridCol w:w="3260"/>
        <w:gridCol w:w="2239"/>
      </w:tblGrid>
      <w:tr w:rsidR="00866D16" w:rsidRPr="00736175" w14:paraId="0A8A1D96" w14:textId="77777777" w:rsidTr="006206D3">
        <w:trPr>
          <w:gridAfter w:val="1"/>
          <w:wAfter w:w="2239" w:type="dxa"/>
          <w:trHeight w:val="454"/>
        </w:trPr>
        <w:tc>
          <w:tcPr>
            <w:tcW w:w="3831" w:type="dxa"/>
            <w:gridSpan w:val="2"/>
            <w:tcBorders>
              <w:top w:val="nil"/>
              <w:left w:val="nil"/>
            </w:tcBorders>
          </w:tcPr>
          <w:p w14:paraId="03ABB352" w14:textId="77777777" w:rsidR="00866D16" w:rsidRDefault="00866D16" w:rsidP="00A05272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B1AFFD8" w14:textId="7AAE16C0" w:rsidR="00B83845" w:rsidRPr="00736175" w:rsidRDefault="00866D16" w:rsidP="00A05272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>Montant TTC</w:t>
            </w:r>
          </w:p>
        </w:tc>
      </w:tr>
      <w:tr w:rsidR="00B83845" w:rsidRPr="00D2631D" w14:paraId="67494EB6" w14:textId="77777777" w:rsidTr="006206D3">
        <w:trPr>
          <w:gridBefore w:val="1"/>
          <w:wBefore w:w="8" w:type="dxa"/>
          <w:trHeight w:val="454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D170868" w14:textId="299916A9" w:rsidR="00B83845" w:rsidRPr="00B83845" w:rsidRDefault="00866D16" w:rsidP="00B83845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  <w:lang w:val="fr-FR"/>
              </w:rPr>
            </w:pPr>
            <w:r w:rsidRPr="00866D16">
              <w:rPr>
                <w:rFonts w:cs="Calibri"/>
                <w:color w:val="000000"/>
                <w:lang w:val="fr-FR"/>
              </w:rPr>
              <w:t>Lessive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77AA8420" w14:textId="08A373BD" w:rsidR="00B83845" w:rsidRPr="00C46B2B" w:rsidRDefault="00B83845" w:rsidP="00643DA1">
            <w:pPr>
              <w:pStyle w:val="Corpsdetexte"/>
              <w:spacing w:before="4"/>
              <w:jc w:val="center"/>
              <w:rPr>
                <w:rFonts w:ascii="Georgia" w:hAnsi="Georgia"/>
                <w:i/>
                <w:sz w:val="20"/>
                <w:szCs w:val="20"/>
                <w:lang w:val="fr-FR"/>
              </w:rPr>
            </w:pPr>
            <w:r w:rsidRPr="00C46B2B"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  <w:t>A compléter par le candidat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14:paraId="639BB3B0" w14:textId="3DF27FE6" w:rsidR="00B83845" w:rsidRPr="00946FED" w:rsidRDefault="00866D16" w:rsidP="00B83845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  <w:lang w:val="fr-FR"/>
              </w:rPr>
            </w:pPr>
            <w:r w:rsidRPr="00946FED">
              <w:rPr>
                <w:rFonts w:ascii="Georgia" w:hAnsi="Georgia"/>
                <w:sz w:val="20"/>
                <w:szCs w:val="20"/>
                <w:lang w:val="fr-FR"/>
              </w:rPr>
              <w:t>La dose</w:t>
            </w:r>
            <w:r w:rsidR="00180C33" w:rsidRPr="00946FED">
              <w:rPr>
                <w:rFonts w:ascii="Georgia" w:hAnsi="Georgia"/>
                <w:sz w:val="20"/>
                <w:szCs w:val="20"/>
                <w:lang w:val="fr-FR"/>
              </w:rPr>
              <w:t xml:space="preserve"> pour une machine de 6,5kg</w:t>
            </w:r>
          </w:p>
        </w:tc>
      </w:tr>
      <w:tr w:rsidR="001A7EBC" w:rsidRPr="00D2631D" w14:paraId="1B6FB0AE" w14:textId="77777777" w:rsidTr="006206D3">
        <w:trPr>
          <w:gridBefore w:val="1"/>
          <w:wBefore w:w="8" w:type="dxa"/>
          <w:trHeight w:val="454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E6859FA" w14:textId="3A776529" w:rsidR="001A7EBC" w:rsidRPr="00B83845" w:rsidRDefault="00866D16" w:rsidP="00B83845">
            <w:pPr>
              <w:pStyle w:val="Corpsdetexte"/>
              <w:spacing w:before="4"/>
              <w:rPr>
                <w:rFonts w:cs="Calibri"/>
                <w:color w:val="000000"/>
                <w:lang w:val="fr-FR"/>
              </w:rPr>
            </w:pPr>
            <w:r w:rsidRPr="00866D16">
              <w:rPr>
                <w:rFonts w:cs="Calibri"/>
                <w:color w:val="000000"/>
                <w:lang w:val="fr-FR"/>
              </w:rPr>
              <w:t>Adoucissant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3450D0AB" w14:textId="1BE3B410" w:rsidR="001A7EBC" w:rsidRPr="00C46B2B" w:rsidRDefault="00866D16" w:rsidP="00643DA1">
            <w:pPr>
              <w:pStyle w:val="Corpsdetexte"/>
              <w:spacing w:before="4"/>
              <w:jc w:val="center"/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</w:pPr>
            <w:r w:rsidRPr="00C46B2B"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  <w:t>A compléter par le candidat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14:paraId="1B620BE9" w14:textId="1785FAC2" w:rsidR="001A7EBC" w:rsidRPr="00946FED" w:rsidRDefault="00180C33" w:rsidP="00B83845">
            <w:pPr>
              <w:pStyle w:val="Corpsdetexte"/>
              <w:spacing w:before="4"/>
              <w:rPr>
                <w:rFonts w:cs="Calibri"/>
                <w:color w:val="000000"/>
                <w:lang w:val="fr-FR" w:eastAsia="fr-FR"/>
              </w:rPr>
            </w:pPr>
            <w:r w:rsidRPr="00946FED">
              <w:rPr>
                <w:rFonts w:ascii="Georgia" w:hAnsi="Georgia"/>
                <w:sz w:val="20"/>
                <w:szCs w:val="20"/>
                <w:lang w:val="fr-FR"/>
              </w:rPr>
              <w:t>La dose pour une machine de 6,5kg</w:t>
            </w:r>
          </w:p>
        </w:tc>
      </w:tr>
    </w:tbl>
    <w:p w14:paraId="23C69BA3" w14:textId="77777777" w:rsidR="00B83845" w:rsidRDefault="00B83845" w:rsidP="00B83845">
      <w:pPr>
        <w:spacing w:after="80"/>
        <w:rPr>
          <w:rFonts w:ascii="Georgia" w:eastAsia="Calibri" w:hAnsi="Georgia"/>
          <w:b/>
          <w:bCs/>
          <w:sz w:val="20"/>
          <w:szCs w:val="20"/>
          <w:lang w:val="fr-FR"/>
        </w:rPr>
      </w:pPr>
    </w:p>
    <w:p w14:paraId="1B888243" w14:textId="62D94A44" w:rsidR="00B83845" w:rsidRPr="00C46B2B" w:rsidRDefault="00A80827" w:rsidP="00734644">
      <w:pPr>
        <w:pStyle w:val="Titre1"/>
      </w:pPr>
      <w:r>
        <w:t xml:space="preserve">MODALITÉS DE CALCUL DE LA REDEVANCE - </w:t>
      </w:r>
      <w:r w:rsidR="006206D3">
        <w:t>pourcentage du chiffre d’affaires</w:t>
      </w:r>
      <w:r w:rsidR="00B83845" w:rsidRPr="00C46B2B">
        <w:t xml:space="preserve"> :</w:t>
      </w:r>
    </w:p>
    <w:p w14:paraId="0B2813B3" w14:textId="77777777" w:rsidR="00B83845" w:rsidRDefault="00B83845" w:rsidP="00B83845">
      <w:pPr>
        <w:spacing w:after="80"/>
        <w:rPr>
          <w:rFonts w:ascii="Georgia" w:eastAsia="Calibri" w:hAnsi="Georgia"/>
          <w:b/>
          <w:bCs/>
          <w:sz w:val="20"/>
          <w:szCs w:val="20"/>
          <w:lang w:val="fr-FR"/>
        </w:rPr>
      </w:pPr>
    </w:p>
    <w:p w14:paraId="00012549" w14:textId="0F136984" w:rsidR="00CC6616" w:rsidRDefault="00CC6616" w:rsidP="00B83845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  <w:r>
        <w:rPr>
          <w:rFonts w:ascii="Georgia" w:eastAsia="Calibri" w:hAnsi="Georgia"/>
          <w:sz w:val="20"/>
          <w:szCs w:val="20"/>
          <w:lang w:val="fr-FR"/>
        </w:rPr>
        <w:t>Pour rappel, la redevance est composée d’une part fixe et d’une part variable.</w:t>
      </w:r>
    </w:p>
    <w:p w14:paraId="75817DE5" w14:textId="77777777" w:rsidR="00CC6616" w:rsidRPr="00CC6616" w:rsidRDefault="00CC6616" w:rsidP="00CC6616">
      <w:pPr>
        <w:jc w:val="both"/>
        <w:rPr>
          <w:rFonts w:eastAsia="Georgia" w:cs="Georgia"/>
          <w:b/>
          <w:bCs/>
          <w:szCs w:val="20"/>
          <w:u w:val="single"/>
          <w:lang w:val="fr-FR"/>
        </w:rPr>
      </w:pPr>
      <w:r w:rsidRPr="00CC6616">
        <w:rPr>
          <w:rFonts w:eastAsia="Georgia" w:cs="Georgia"/>
          <w:b/>
          <w:bCs/>
          <w:szCs w:val="20"/>
          <w:u w:val="single"/>
          <w:lang w:val="fr-FR"/>
        </w:rPr>
        <w:t>Redevance ferme (partie fixe)</w:t>
      </w:r>
    </w:p>
    <w:p w14:paraId="1CA54905" w14:textId="6A21382C" w:rsidR="00CC6616" w:rsidRPr="00CC6616" w:rsidRDefault="00CC6616" w:rsidP="00CC6616">
      <w:pPr>
        <w:jc w:val="both"/>
        <w:rPr>
          <w:rFonts w:eastAsia="Georgia" w:cs="Georgia"/>
          <w:szCs w:val="20"/>
          <w:lang w:val="fr-FR"/>
        </w:rPr>
      </w:pPr>
      <w:r w:rsidRPr="00CC6616">
        <w:rPr>
          <w:rFonts w:eastAsia="Georgia" w:cs="Georgia"/>
          <w:b/>
          <w:bCs/>
          <w:szCs w:val="20"/>
          <w:lang w:val="fr-FR"/>
        </w:rPr>
        <w:t xml:space="preserve">L’Exploitant s’engage à payer, </w:t>
      </w:r>
      <w:r w:rsidRPr="00CC6616">
        <w:rPr>
          <w:rFonts w:eastAsia="Georgia" w:cs="Georgia"/>
          <w:b/>
          <w:bCs/>
          <w:szCs w:val="20"/>
          <w:u w:val="single"/>
          <w:lang w:val="fr-FR"/>
        </w:rPr>
        <w:t>par site</w:t>
      </w:r>
      <w:r w:rsidRPr="00CC6616">
        <w:rPr>
          <w:rFonts w:eastAsia="Georgia" w:cs="Georgia"/>
          <w:b/>
          <w:bCs/>
          <w:szCs w:val="20"/>
          <w:lang w:val="fr-FR"/>
        </w:rPr>
        <w:t>, une</w:t>
      </w:r>
      <w:r w:rsidRPr="00CC6616">
        <w:rPr>
          <w:rFonts w:eastAsia="Georgia" w:cs="Georgia"/>
          <w:szCs w:val="20"/>
          <w:lang w:val="fr-FR"/>
        </w:rPr>
        <w:t xml:space="preserve"> </w:t>
      </w:r>
      <w:r w:rsidRPr="00CC6616">
        <w:rPr>
          <w:rFonts w:eastAsia="Georgia" w:cs="Georgia"/>
          <w:b/>
          <w:bCs/>
          <w:szCs w:val="20"/>
          <w:lang w:val="fr-FR"/>
        </w:rPr>
        <w:t>redevance ferme trimestrielle d’un montant de 1 </w:t>
      </w:r>
      <w:r w:rsidR="00B04354">
        <w:rPr>
          <w:rFonts w:eastAsia="Georgia" w:cs="Georgia"/>
          <w:b/>
          <w:bCs/>
          <w:szCs w:val="20"/>
          <w:lang w:val="fr-FR"/>
        </w:rPr>
        <w:t>0</w:t>
      </w:r>
      <w:r w:rsidRPr="00CC6616">
        <w:rPr>
          <w:rFonts w:eastAsia="Georgia" w:cs="Georgia"/>
          <w:b/>
          <w:bCs/>
          <w:szCs w:val="20"/>
          <w:lang w:val="fr-FR"/>
        </w:rPr>
        <w:t>00 euros HT</w:t>
      </w:r>
      <w:r>
        <w:rPr>
          <w:rFonts w:eastAsia="Georgia" w:cs="Georgia"/>
          <w:szCs w:val="20"/>
          <w:lang w:val="fr-FR"/>
        </w:rPr>
        <w:t xml:space="preserve">, soit </w:t>
      </w:r>
      <w:r w:rsidR="00254E38">
        <w:rPr>
          <w:rFonts w:eastAsia="Georgia" w:cs="Georgia"/>
          <w:szCs w:val="20"/>
          <w:lang w:val="fr-FR"/>
        </w:rPr>
        <w:t>3 000</w:t>
      </w:r>
      <w:r>
        <w:rPr>
          <w:rFonts w:eastAsia="Georgia" w:cs="Georgia"/>
          <w:szCs w:val="20"/>
          <w:lang w:val="fr-FR"/>
        </w:rPr>
        <w:t xml:space="preserve"> euros HT par trimestre.</w:t>
      </w:r>
    </w:p>
    <w:p w14:paraId="75CEE147" w14:textId="77777777" w:rsidR="00CC6616" w:rsidRDefault="00CC6616" w:rsidP="00B83845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</w:p>
    <w:p w14:paraId="46F49069" w14:textId="77777777" w:rsidR="00CC6616" w:rsidRPr="00CC6616" w:rsidRDefault="00CC6616" w:rsidP="00CC6616">
      <w:pPr>
        <w:jc w:val="both"/>
        <w:rPr>
          <w:rFonts w:eastAsia="Georgia" w:cs="Georgia"/>
          <w:b/>
          <w:bCs/>
          <w:szCs w:val="20"/>
          <w:u w:val="single"/>
          <w:lang w:val="fr-FR"/>
        </w:rPr>
      </w:pPr>
      <w:r w:rsidRPr="00CC6616">
        <w:rPr>
          <w:rFonts w:eastAsia="Georgia" w:cs="Georgia"/>
          <w:b/>
          <w:bCs/>
          <w:szCs w:val="20"/>
          <w:u w:val="single"/>
          <w:lang w:val="fr-FR"/>
        </w:rPr>
        <w:t>Redevance variable</w:t>
      </w:r>
    </w:p>
    <w:p w14:paraId="565CDC91" w14:textId="5E4DB555" w:rsidR="00B83845" w:rsidRPr="00B27AA7" w:rsidRDefault="00B27AA7" w:rsidP="00B83845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  <w:r w:rsidRPr="00B27AA7">
        <w:rPr>
          <w:rFonts w:ascii="Georgia" w:eastAsia="Calibri" w:hAnsi="Georgia"/>
          <w:sz w:val="20"/>
          <w:szCs w:val="20"/>
          <w:lang w:val="fr-FR"/>
        </w:rPr>
        <w:t xml:space="preserve">L’Exploitant s’engage à reverser à </w:t>
      </w:r>
      <w:r>
        <w:rPr>
          <w:rFonts w:ascii="Georgia" w:eastAsia="Calibri" w:hAnsi="Georgia"/>
          <w:sz w:val="20"/>
          <w:szCs w:val="20"/>
          <w:lang w:val="fr-FR"/>
        </w:rPr>
        <w:t xml:space="preserve">l’ENS-PSL, </w:t>
      </w:r>
      <w:r w:rsidRPr="00B27AA7">
        <w:rPr>
          <w:rFonts w:ascii="Georgia" w:eastAsia="Calibri" w:hAnsi="Georgia"/>
          <w:sz w:val="20"/>
          <w:szCs w:val="20"/>
          <w:lang w:val="fr-FR"/>
        </w:rPr>
        <w:t xml:space="preserve">une redevance calculée sur un pourcentage du chiffre d’affaires </w:t>
      </w:r>
      <w:r w:rsidR="00CC6616">
        <w:rPr>
          <w:rFonts w:ascii="Georgia" w:eastAsia="Calibri" w:hAnsi="Georgia"/>
          <w:sz w:val="20"/>
          <w:szCs w:val="20"/>
          <w:lang w:val="fr-FR"/>
        </w:rPr>
        <w:t>trimestriel</w:t>
      </w:r>
      <w:r w:rsidRPr="00B27AA7">
        <w:rPr>
          <w:rFonts w:ascii="Georgia" w:eastAsia="Calibri" w:hAnsi="Georgia"/>
          <w:sz w:val="20"/>
          <w:szCs w:val="20"/>
          <w:lang w:val="fr-FR"/>
        </w:rPr>
        <w:t xml:space="preserve"> hors taxes réalisé </w:t>
      </w:r>
      <w:r w:rsidR="00D2631D">
        <w:rPr>
          <w:rFonts w:ascii="Georgia" w:eastAsia="Calibri" w:hAnsi="Georgia"/>
          <w:sz w:val="20"/>
          <w:szCs w:val="20"/>
          <w:lang w:val="fr-FR"/>
        </w:rPr>
        <w:t>sur l’ensemble des sites</w:t>
      </w:r>
      <w:r w:rsidRPr="00B27AA7">
        <w:rPr>
          <w:rFonts w:ascii="Georgia" w:eastAsia="Calibri" w:hAnsi="Georgia"/>
          <w:sz w:val="20"/>
          <w:szCs w:val="20"/>
          <w:lang w:val="fr-FR"/>
        </w:rPr>
        <w:t>, selon le barème suivant :</w:t>
      </w:r>
    </w:p>
    <w:tbl>
      <w:tblPr>
        <w:tblStyle w:val="Grilledutableau"/>
        <w:tblW w:w="0" w:type="auto"/>
        <w:tblInd w:w="-8" w:type="dxa"/>
        <w:tblLook w:val="04A0" w:firstRow="1" w:lastRow="0" w:firstColumn="1" w:lastColumn="0" w:noHBand="0" w:noVBand="1"/>
      </w:tblPr>
      <w:tblGrid>
        <w:gridCol w:w="7"/>
        <w:gridCol w:w="3975"/>
        <w:gridCol w:w="2117"/>
        <w:gridCol w:w="3419"/>
      </w:tblGrid>
      <w:tr w:rsidR="006B5E1D" w:rsidRPr="00D2631D" w14:paraId="4D3FC24E" w14:textId="77777777" w:rsidTr="00EF135F">
        <w:trPr>
          <w:trHeight w:val="454"/>
        </w:trPr>
        <w:tc>
          <w:tcPr>
            <w:tcW w:w="3982" w:type="dxa"/>
            <w:gridSpan w:val="2"/>
            <w:shd w:val="clear" w:color="auto" w:fill="F2F2F2" w:themeFill="background1" w:themeFillShade="F2"/>
            <w:vAlign w:val="center"/>
          </w:tcPr>
          <w:p w14:paraId="5D5B9798" w14:textId="4D789D83" w:rsidR="006B5E1D" w:rsidRPr="00BA4B80" w:rsidRDefault="00BA4B80" w:rsidP="00866D16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</w:pPr>
            <w:r w:rsidRPr="00BA4B80"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>Tranche de CA HT trimestriel</w:t>
            </w:r>
            <w:r w:rsidR="00A46464"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 xml:space="preserve"> réalisé sur les 3 sites cumulés</w:t>
            </w:r>
          </w:p>
        </w:tc>
        <w:tc>
          <w:tcPr>
            <w:tcW w:w="2117" w:type="dxa"/>
            <w:shd w:val="clear" w:color="auto" w:fill="F2F2F2" w:themeFill="background1" w:themeFillShade="F2"/>
          </w:tcPr>
          <w:p w14:paraId="5DE8FD67" w14:textId="355A01ED" w:rsidR="006B5E1D" w:rsidRDefault="006B5E1D" w:rsidP="00121D7C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>Pourcentage minimum</w:t>
            </w:r>
          </w:p>
        </w:tc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0B7CC936" w14:textId="7D90D0BF" w:rsidR="006B5E1D" w:rsidRPr="00736175" w:rsidRDefault="006B5E1D" w:rsidP="00121D7C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>Pourcentage</w:t>
            </w:r>
            <w:r w:rsidR="00EF135F"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 xml:space="preserve"> consenti</w:t>
            </w:r>
            <w:r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946FED"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 xml:space="preserve">par l’Exploitant en </w:t>
            </w:r>
            <w:r>
              <w:rPr>
                <w:rFonts w:ascii="Georgia" w:hAnsi="Georgia"/>
                <w:b/>
                <w:bCs/>
                <w:sz w:val="20"/>
                <w:szCs w:val="20"/>
                <w:lang w:val="fr-FR"/>
              </w:rPr>
              <w:t>%</w:t>
            </w:r>
          </w:p>
        </w:tc>
      </w:tr>
      <w:tr w:rsidR="00B04354" w:rsidRPr="00D2631D" w14:paraId="698C0E65" w14:textId="77777777" w:rsidTr="00B04354">
        <w:trPr>
          <w:gridBefore w:val="1"/>
          <w:wBefore w:w="7" w:type="dxa"/>
          <w:trHeight w:val="454"/>
        </w:trPr>
        <w:tc>
          <w:tcPr>
            <w:tcW w:w="3975" w:type="dxa"/>
            <w:shd w:val="clear" w:color="auto" w:fill="F2F2F2" w:themeFill="background1" w:themeFillShade="F2"/>
            <w:vAlign w:val="center"/>
          </w:tcPr>
          <w:p w14:paraId="220E1230" w14:textId="53E6F681" w:rsidR="00B04354" w:rsidRPr="00B83845" w:rsidRDefault="00B04354" w:rsidP="00B04354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  <w:lang w:val="fr-FR"/>
              </w:rPr>
            </w:pPr>
            <w:r w:rsidRPr="00B873DE">
              <w:t>0 à 4 500 €</w:t>
            </w:r>
          </w:p>
        </w:tc>
        <w:tc>
          <w:tcPr>
            <w:tcW w:w="2117" w:type="dxa"/>
            <w:shd w:val="clear" w:color="auto" w:fill="F2F2F2" w:themeFill="background1" w:themeFillShade="F2"/>
            <w:vAlign w:val="center"/>
          </w:tcPr>
          <w:p w14:paraId="29B6F678" w14:textId="403A4C60" w:rsidR="00B04354" w:rsidRPr="00EF135F" w:rsidRDefault="00B04354" w:rsidP="00B04354">
            <w:pPr>
              <w:pStyle w:val="Corpsdetexte"/>
              <w:spacing w:before="4"/>
              <w:jc w:val="center"/>
              <w:rPr>
                <w:rFonts w:ascii="Georgia" w:hAnsi="Georgia"/>
                <w:i/>
                <w:sz w:val="20"/>
                <w:szCs w:val="20"/>
                <w:lang w:val="fr-FR"/>
              </w:rPr>
            </w:pPr>
            <w:r w:rsidRPr="00EF135F">
              <w:rPr>
                <w:rFonts w:ascii="Georgia" w:hAnsi="Georgia"/>
                <w:i/>
                <w:sz w:val="20"/>
                <w:szCs w:val="20"/>
                <w:lang w:val="fr-FR"/>
              </w:rPr>
              <w:t>5%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10DC8BD7" w14:textId="4E4E3794" w:rsidR="00B04354" w:rsidRPr="00C46B2B" w:rsidRDefault="00B04354" w:rsidP="00B04354">
            <w:pPr>
              <w:pStyle w:val="Corpsdetexte"/>
              <w:spacing w:before="4"/>
              <w:jc w:val="center"/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</w:pPr>
            <w:r w:rsidRPr="00C46B2B"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  <w:t>A compléter par le candidat</w:t>
            </w:r>
          </w:p>
        </w:tc>
      </w:tr>
      <w:tr w:rsidR="00B04354" w:rsidRPr="00D2631D" w14:paraId="1BA008EC" w14:textId="77777777" w:rsidTr="00B04354">
        <w:trPr>
          <w:gridBefore w:val="1"/>
          <w:wBefore w:w="7" w:type="dxa"/>
          <w:trHeight w:val="454"/>
        </w:trPr>
        <w:tc>
          <w:tcPr>
            <w:tcW w:w="3975" w:type="dxa"/>
            <w:shd w:val="clear" w:color="auto" w:fill="F2F2F2" w:themeFill="background1" w:themeFillShade="F2"/>
            <w:vAlign w:val="center"/>
          </w:tcPr>
          <w:p w14:paraId="3D112484" w14:textId="2E61BBDE" w:rsidR="00B04354" w:rsidRPr="00B83845" w:rsidRDefault="00B04354" w:rsidP="00B04354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  <w:lang w:val="fr-FR"/>
              </w:rPr>
            </w:pPr>
            <w:r w:rsidRPr="00B873DE">
              <w:t>4 500 à 7 499,99 €</w:t>
            </w:r>
          </w:p>
        </w:tc>
        <w:tc>
          <w:tcPr>
            <w:tcW w:w="2117" w:type="dxa"/>
            <w:shd w:val="clear" w:color="auto" w:fill="F2F2F2" w:themeFill="background1" w:themeFillShade="F2"/>
            <w:vAlign w:val="center"/>
          </w:tcPr>
          <w:p w14:paraId="63880549" w14:textId="1009B5F7" w:rsidR="00B04354" w:rsidRPr="00EF135F" w:rsidRDefault="00B04354" w:rsidP="00B04354">
            <w:pPr>
              <w:pStyle w:val="Corpsdetexte"/>
              <w:spacing w:before="4"/>
              <w:jc w:val="center"/>
              <w:rPr>
                <w:rFonts w:ascii="Georgia" w:hAnsi="Georgia"/>
                <w:i/>
                <w:sz w:val="20"/>
                <w:szCs w:val="20"/>
                <w:lang w:val="fr-FR"/>
              </w:rPr>
            </w:pPr>
            <w:r w:rsidRPr="00EF135F">
              <w:rPr>
                <w:rFonts w:ascii="Georgia" w:hAnsi="Georgia"/>
                <w:i/>
                <w:sz w:val="20"/>
                <w:szCs w:val="20"/>
                <w:lang w:val="fr-FR"/>
              </w:rPr>
              <w:t>10%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55B29E0A" w14:textId="6B1A1AEE" w:rsidR="00B04354" w:rsidRPr="00C46B2B" w:rsidRDefault="00B04354" w:rsidP="00B04354">
            <w:pPr>
              <w:pStyle w:val="Corpsdetexte"/>
              <w:spacing w:before="4"/>
              <w:jc w:val="center"/>
              <w:rPr>
                <w:rFonts w:ascii="Georgia" w:hAnsi="Georgia"/>
                <w:i/>
                <w:sz w:val="20"/>
                <w:szCs w:val="20"/>
                <w:lang w:val="fr-FR"/>
              </w:rPr>
            </w:pPr>
            <w:r w:rsidRPr="00C46B2B"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  <w:t>A compléter par le candidat</w:t>
            </w:r>
          </w:p>
        </w:tc>
      </w:tr>
      <w:tr w:rsidR="00B04354" w:rsidRPr="00D2631D" w14:paraId="0BC0C82F" w14:textId="77777777" w:rsidTr="00B04354">
        <w:trPr>
          <w:gridBefore w:val="1"/>
          <w:wBefore w:w="7" w:type="dxa"/>
          <w:trHeight w:val="454"/>
        </w:trPr>
        <w:tc>
          <w:tcPr>
            <w:tcW w:w="3975" w:type="dxa"/>
            <w:shd w:val="clear" w:color="auto" w:fill="F2F2F2" w:themeFill="background1" w:themeFillShade="F2"/>
            <w:vAlign w:val="center"/>
          </w:tcPr>
          <w:p w14:paraId="65831049" w14:textId="6AC03ED6" w:rsidR="00B04354" w:rsidRPr="00B83845" w:rsidRDefault="00B04354" w:rsidP="00B04354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  <w:lang w:val="fr-FR"/>
              </w:rPr>
            </w:pPr>
            <w:r w:rsidRPr="00B873DE">
              <w:t>7 500 € et plus</w:t>
            </w:r>
          </w:p>
        </w:tc>
        <w:tc>
          <w:tcPr>
            <w:tcW w:w="2117" w:type="dxa"/>
            <w:shd w:val="clear" w:color="auto" w:fill="F2F2F2" w:themeFill="background1" w:themeFillShade="F2"/>
            <w:vAlign w:val="center"/>
          </w:tcPr>
          <w:p w14:paraId="47E46256" w14:textId="18333A7C" w:rsidR="00B04354" w:rsidRPr="00EF135F" w:rsidRDefault="00B04354" w:rsidP="00B04354">
            <w:pPr>
              <w:pStyle w:val="Corpsdetexte"/>
              <w:spacing w:before="4"/>
              <w:jc w:val="center"/>
              <w:rPr>
                <w:rFonts w:ascii="Georgia" w:hAnsi="Georgia"/>
                <w:i/>
                <w:sz w:val="20"/>
                <w:szCs w:val="20"/>
                <w:lang w:val="fr-FR"/>
              </w:rPr>
            </w:pPr>
            <w:r w:rsidRPr="00EF135F">
              <w:rPr>
                <w:rFonts w:ascii="Georgia" w:hAnsi="Georgia"/>
                <w:i/>
                <w:sz w:val="20"/>
                <w:szCs w:val="20"/>
                <w:lang w:val="fr-FR"/>
              </w:rPr>
              <w:t>20%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7014B674" w14:textId="743F9FDA" w:rsidR="00B04354" w:rsidRPr="00C46B2B" w:rsidRDefault="00B04354" w:rsidP="00B04354">
            <w:pPr>
              <w:pStyle w:val="Corpsdetexte"/>
              <w:spacing w:before="4"/>
              <w:jc w:val="center"/>
              <w:rPr>
                <w:rFonts w:ascii="Georgia" w:hAnsi="Georgia"/>
                <w:i/>
                <w:sz w:val="20"/>
                <w:szCs w:val="20"/>
                <w:lang w:val="fr-FR"/>
              </w:rPr>
            </w:pPr>
            <w:r w:rsidRPr="00C46B2B">
              <w:rPr>
                <w:rFonts w:ascii="Georgia" w:hAnsi="Georgia"/>
                <w:i/>
                <w:color w:val="0000FF"/>
                <w:sz w:val="20"/>
                <w:szCs w:val="20"/>
                <w:lang w:val="fr-FR"/>
              </w:rPr>
              <w:t>A compléter par le candidat</w:t>
            </w:r>
          </w:p>
        </w:tc>
      </w:tr>
    </w:tbl>
    <w:p w14:paraId="393294A9" w14:textId="647DD9C7" w:rsidR="003055DE" w:rsidRDefault="003055DE" w:rsidP="00B83845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</w:p>
    <w:p w14:paraId="4B18A4F3" w14:textId="3566C4DE" w:rsidR="003055DE" w:rsidRDefault="00910AEA" w:rsidP="00B83845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  <w:r>
        <w:rPr>
          <w:rFonts w:ascii="Georgia" w:eastAsia="Calibri" w:hAnsi="Georgia"/>
          <w:sz w:val="20"/>
          <w:szCs w:val="20"/>
          <w:lang w:val="fr-FR"/>
        </w:rPr>
        <w:t>Le pourcentage consenti par l’Exploitant ne peut pas être inférieur au pourcentage minimum indiqué ci-</w:t>
      </w:r>
      <w:r w:rsidR="00F41301">
        <w:rPr>
          <w:rFonts w:ascii="Georgia" w:eastAsia="Calibri" w:hAnsi="Georgia"/>
          <w:sz w:val="20"/>
          <w:szCs w:val="20"/>
          <w:lang w:val="fr-FR"/>
        </w:rPr>
        <w:t>dessus</w:t>
      </w:r>
      <w:r>
        <w:rPr>
          <w:rFonts w:ascii="Georgia" w:eastAsia="Calibri" w:hAnsi="Georgia"/>
          <w:sz w:val="20"/>
          <w:szCs w:val="20"/>
          <w:lang w:val="fr-FR"/>
        </w:rPr>
        <w:t>.</w:t>
      </w:r>
    </w:p>
    <w:p w14:paraId="21F860B4" w14:textId="654A17D6" w:rsidR="00FE18DC" w:rsidRPr="00FE18DC" w:rsidRDefault="00FE18DC" w:rsidP="00FE18DC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  <w:r w:rsidRPr="00FE18DC">
        <w:rPr>
          <w:rFonts w:ascii="Georgia" w:eastAsia="Calibri" w:hAnsi="Georgia"/>
          <w:sz w:val="20"/>
          <w:szCs w:val="20"/>
          <w:lang w:val="fr-FR"/>
        </w:rPr>
        <w:t xml:space="preserve">Dans l’hypothèse où l’Exploitant propose des pourcentages différents dans l’annexe 4 « </w:t>
      </w:r>
      <w:r w:rsidR="00281CE0" w:rsidRPr="00281CE0">
        <w:rPr>
          <w:rFonts w:ascii="Georgia" w:eastAsia="Calibri" w:hAnsi="Georgia"/>
          <w:sz w:val="20"/>
          <w:szCs w:val="20"/>
          <w:lang w:val="fr-FR"/>
        </w:rPr>
        <w:t>Tarif d’utilisation et pourcentages à prendre en compte pour le calcul de la part variable de la redevance</w:t>
      </w:r>
      <w:r w:rsidRPr="00FE18DC">
        <w:rPr>
          <w:rFonts w:ascii="Georgia" w:eastAsia="Calibri" w:hAnsi="Georgia"/>
          <w:sz w:val="20"/>
          <w:szCs w:val="20"/>
          <w:lang w:val="fr-FR"/>
        </w:rPr>
        <w:t xml:space="preserve"> », ces derniers prévalent sur les valeurs minimales indiquées ci-dessus.</w:t>
      </w:r>
    </w:p>
    <w:p w14:paraId="50A2ADC2" w14:textId="77777777" w:rsidR="00FE18DC" w:rsidRPr="00FE18DC" w:rsidRDefault="00FE18DC" w:rsidP="00FE18DC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</w:p>
    <w:p w14:paraId="31D6A32E" w14:textId="384920CA" w:rsidR="00FE18DC" w:rsidRPr="00FE18DC" w:rsidRDefault="00FE18DC" w:rsidP="00FE18DC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  <w:r w:rsidRPr="00FE18DC">
        <w:rPr>
          <w:rFonts w:ascii="Georgia" w:eastAsia="Calibri" w:hAnsi="Georgia"/>
          <w:sz w:val="20"/>
          <w:szCs w:val="20"/>
          <w:lang w:val="fr-FR"/>
        </w:rPr>
        <w:t xml:space="preserve">Le calcul de la redevance </w:t>
      </w:r>
      <w:r w:rsidR="00281CE0">
        <w:rPr>
          <w:rFonts w:ascii="Georgia" w:eastAsia="Calibri" w:hAnsi="Georgia"/>
          <w:sz w:val="20"/>
          <w:szCs w:val="20"/>
          <w:lang w:val="fr-FR"/>
        </w:rPr>
        <w:t xml:space="preserve">(part </w:t>
      </w:r>
      <w:r w:rsidRPr="00FE18DC">
        <w:rPr>
          <w:rFonts w:ascii="Georgia" w:eastAsia="Calibri" w:hAnsi="Georgia"/>
          <w:sz w:val="20"/>
          <w:szCs w:val="20"/>
          <w:lang w:val="fr-FR"/>
        </w:rPr>
        <w:t>variable</w:t>
      </w:r>
      <w:r w:rsidR="00281CE0">
        <w:rPr>
          <w:rFonts w:ascii="Georgia" w:eastAsia="Calibri" w:hAnsi="Georgia"/>
          <w:sz w:val="20"/>
          <w:szCs w:val="20"/>
          <w:lang w:val="fr-FR"/>
        </w:rPr>
        <w:t>)</w:t>
      </w:r>
      <w:r w:rsidRPr="00FE18DC">
        <w:rPr>
          <w:rFonts w:ascii="Georgia" w:eastAsia="Calibri" w:hAnsi="Georgia"/>
          <w:sz w:val="20"/>
          <w:szCs w:val="20"/>
          <w:lang w:val="fr-FR"/>
        </w:rPr>
        <w:t xml:space="preserve"> s’effectue comme suit :</w:t>
      </w:r>
    </w:p>
    <w:p w14:paraId="6D9CBD49" w14:textId="77777777" w:rsidR="00FE18DC" w:rsidRPr="00FE18DC" w:rsidRDefault="00FE18DC" w:rsidP="00FE18DC">
      <w:pPr>
        <w:spacing w:line="226" w:lineRule="exact"/>
        <w:ind w:left="-142" w:right="-198"/>
        <w:jc w:val="center"/>
        <w:rPr>
          <w:b/>
          <w:bCs/>
          <w:iCs/>
          <w:szCs w:val="20"/>
          <w:lang w:val="fr-FR"/>
        </w:rPr>
      </w:pPr>
      <m:oMath>
        <m:r>
          <m:rPr>
            <m:sty m:val="b"/>
          </m:rPr>
          <w:rPr>
            <w:rFonts w:ascii="Cambria Math" w:eastAsia="Georgia" w:hAnsi="Cambria Math" w:cs="Georgia"/>
            <w:szCs w:val="20"/>
          </w:rPr>
          <m:t>Redevance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variable</m:t>
        </m:r>
      </m:oMath>
      <w:r w:rsidRPr="00FE18DC">
        <w:rPr>
          <w:b/>
          <w:bCs/>
          <w:iCs/>
          <w:szCs w:val="20"/>
          <w:lang w:val="fr-FR"/>
        </w:rPr>
        <w:t xml:space="preserve"> = </w:t>
      </w:r>
      <m:oMath>
        <m:r>
          <m:rPr>
            <m:sty m:val="b"/>
          </m:rPr>
          <w:rPr>
            <w:rFonts w:ascii="Cambria Math" w:eastAsia="Georgia" w:hAnsi="Cambria Math" w:cs="Georgia"/>
            <w:szCs w:val="20"/>
          </w:rPr>
          <m:t>Taux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applicable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× (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Montant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CA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HT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trimestriel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-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Montant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redevance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 xml:space="preserve"> </m:t>
        </m:r>
        <m:r>
          <m:rPr>
            <m:sty m:val="b"/>
          </m:rPr>
          <w:rPr>
            <w:rFonts w:ascii="Cambria Math" w:eastAsia="Georgia" w:hAnsi="Cambria Math" w:cs="Georgia"/>
            <w:szCs w:val="20"/>
          </w:rPr>
          <m:t>ferme</m:t>
        </m:r>
        <m:r>
          <m:rPr>
            <m:sty m:val="b"/>
          </m:rPr>
          <w:rPr>
            <w:rFonts w:ascii="Cambria Math" w:eastAsia="Georgia" w:hAnsi="Cambria Math" w:cs="Georgia"/>
            <w:szCs w:val="20"/>
            <w:lang w:val="fr-FR"/>
          </w:rPr>
          <m:t>)</m:t>
        </m:r>
      </m:oMath>
    </w:p>
    <w:p w14:paraId="278C2275" w14:textId="77777777" w:rsidR="00FE18DC" w:rsidRPr="00FE18DC" w:rsidRDefault="00FE18DC" w:rsidP="00FE18DC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</w:p>
    <w:p w14:paraId="48A585F0" w14:textId="5E73D40E" w:rsidR="00FE18DC" w:rsidRDefault="00FE18DC" w:rsidP="00FE18DC">
      <w:pPr>
        <w:spacing w:after="80"/>
        <w:jc w:val="both"/>
        <w:rPr>
          <w:rFonts w:ascii="Georgia" w:eastAsia="Calibri" w:hAnsi="Georgia"/>
          <w:sz w:val="20"/>
          <w:szCs w:val="20"/>
          <w:lang w:val="fr-FR"/>
        </w:rPr>
      </w:pPr>
      <w:r w:rsidRPr="00FE18DC">
        <w:rPr>
          <w:rFonts w:ascii="Georgia" w:eastAsia="Calibri" w:hAnsi="Georgia"/>
          <w:sz w:val="20"/>
          <w:szCs w:val="20"/>
          <w:lang w:val="fr-FR"/>
        </w:rPr>
        <w:t xml:space="preserve">Le montant de la redevance </w:t>
      </w:r>
      <w:r w:rsidR="00281CE0">
        <w:rPr>
          <w:rFonts w:ascii="Georgia" w:eastAsia="Calibri" w:hAnsi="Georgia"/>
          <w:sz w:val="20"/>
          <w:szCs w:val="20"/>
          <w:lang w:val="fr-FR"/>
        </w:rPr>
        <w:t xml:space="preserve">(partie </w:t>
      </w:r>
      <w:r w:rsidRPr="00FE18DC">
        <w:rPr>
          <w:rFonts w:ascii="Georgia" w:eastAsia="Calibri" w:hAnsi="Georgia"/>
          <w:sz w:val="20"/>
          <w:szCs w:val="20"/>
          <w:lang w:val="fr-FR"/>
        </w:rPr>
        <w:t>f</w:t>
      </w:r>
      <w:r w:rsidR="00281CE0">
        <w:rPr>
          <w:rFonts w:ascii="Georgia" w:eastAsia="Calibri" w:hAnsi="Georgia"/>
          <w:sz w:val="20"/>
          <w:szCs w:val="20"/>
          <w:lang w:val="fr-FR"/>
        </w:rPr>
        <w:t>ix</w:t>
      </w:r>
      <w:r w:rsidRPr="00FE18DC">
        <w:rPr>
          <w:rFonts w:ascii="Georgia" w:eastAsia="Calibri" w:hAnsi="Georgia"/>
          <w:sz w:val="20"/>
          <w:szCs w:val="20"/>
          <w:lang w:val="fr-FR"/>
        </w:rPr>
        <w:t>e</w:t>
      </w:r>
      <w:r w:rsidR="00281CE0">
        <w:rPr>
          <w:rFonts w:ascii="Georgia" w:eastAsia="Calibri" w:hAnsi="Georgia"/>
          <w:sz w:val="20"/>
          <w:szCs w:val="20"/>
          <w:lang w:val="fr-FR"/>
        </w:rPr>
        <w:t>)</w:t>
      </w:r>
      <w:r w:rsidRPr="00FE18DC">
        <w:rPr>
          <w:rFonts w:ascii="Georgia" w:eastAsia="Calibri" w:hAnsi="Georgia"/>
          <w:sz w:val="20"/>
          <w:szCs w:val="20"/>
          <w:lang w:val="fr-FR"/>
        </w:rPr>
        <w:t xml:space="preserve"> et </w:t>
      </w:r>
      <w:r w:rsidR="00281CE0">
        <w:rPr>
          <w:rFonts w:ascii="Georgia" w:eastAsia="Calibri" w:hAnsi="Georgia"/>
          <w:sz w:val="20"/>
          <w:szCs w:val="20"/>
          <w:lang w:val="fr-FR"/>
        </w:rPr>
        <w:t>les</w:t>
      </w:r>
      <w:r w:rsidRPr="00FE18DC">
        <w:rPr>
          <w:rFonts w:ascii="Georgia" w:eastAsia="Calibri" w:hAnsi="Georgia"/>
          <w:sz w:val="20"/>
          <w:szCs w:val="20"/>
          <w:lang w:val="fr-FR"/>
        </w:rPr>
        <w:t xml:space="preserve"> taux de la redevance variable pourront être révisés annuellement, selon les modalités prévues à l’article 4.5 du présent contrat.</w:t>
      </w:r>
    </w:p>
    <w:sectPr w:rsidR="00FE18DC" w:rsidSect="003A594B">
      <w:headerReference w:type="default" r:id="rId8"/>
      <w:headerReference w:type="first" r:id="rId9"/>
      <w:pgSz w:w="11900" w:h="16840"/>
      <w:pgMar w:top="1132" w:right="1180" w:bottom="709" w:left="1200" w:header="284" w:footer="567" w:gutter="0"/>
      <w:pgNumType w:start="3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54150" w14:textId="77777777" w:rsidR="00B83845" w:rsidRDefault="00B83845" w:rsidP="00B83845">
      <w:r>
        <w:separator/>
      </w:r>
    </w:p>
  </w:endnote>
  <w:endnote w:type="continuationSeparator" w:id="0">
    <w:p w14:paraId="720B0829" w14:textId="77777777" w:rsidR="00B83845" w:rsidRDefault="00B83845" w:rsidP="00B8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124AA" w14:textId="77777777" w:rsidR="00B83845" w:rsidRDefault="00B83845" w:rsidP="00B83845">
      <w:r>
        <w:separator/>
      </w:r>
    </w:p>
  </w:footnote>
  <w:footnote w:type="continuationSeparator" w:id="0">
    <w:p w14:paraId="34395E3C" w14:textId="77777777" w:rsidR="00B83845" w:rsidRDefault="00B83845" w:rsidP="00B83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3DB9" w14:textId="77777777" w:rsidR="003A594B" w:rsidRDefault="003A594B">
    <w:pPr>
      <w:pStyle w:val="Corpsdetexte"/>
      <w:spacing w:line="14" w:lineRule="auto"/>
      <w:rPr>
        <w:sz w:val="2"/>
      </w:rPr>
    </w:pPr>
    <w:r>
      <w:rPr>
        <w:sz w:val="2"/>
      </w:rPr>
      <w:t>gr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1442" w14:textId="77777777" w:rsidR="003A594B" w:rsidRDefault="003A594B">
    <w:pPr>
      <w:pStyle w:val="En-tte"/>
    </w:pPr>
  </w:p>
  <w:p w14:paraId="2F4EB684" w14:textId="77777777" w:rsidR="003A594B" w:rsidRDefault="003A59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398"/>
    <w:multiLevelType w:val="multilevel"/>
    <w:tmpl w:val="B6FE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866332"/>
    <w:multiLevelType w:val="multilevel"/>
    <w:tmpl w:val="477836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1E72B38"/>
    <w:multiLevelType w:val="hybridMultilevel"/>
    <w:tmpl w:val="FF7CF502"/>
    <w:lvl w:ilvl="0" w:tplc="D8C242BE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87933"/>
    <w:multiLevelType w:val="hybridMultilevel"/>
    <w:tmpl w:val="64D2287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763FF"/>
    <w:multiLevelType w:val="hybridMultilevel"/>
    <w:tmpl w:val="E780C5E8"/>
    <w:lvl w:ilvl="0" w:tplc="F80ED43A">
      <w:start w:val="1"/>
      <w:numFmt w:val="upperRoman"/>
      <w:lvlText w:val="%1."/>
      <w:lvlJc w:val="left"/>
      <w:pPr>
        <w:ind w:left="928" w:hanging="519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8"/>
        <w:szCs w:val="28"/>
      </w:rPr>
    </w:lvl>
    <w:lvl w:ilvl="1" w:tplc="E70683B8">
      <w:numFmt w:val="bullet"/>
      <w:lvlText w:val="•"/>
      <w:lvlJc w:val="left"/>
      <w:pPr>
        <w:ind w:left="1780" w:hanging="519"/>
      </w:pPr>
      <w:rPr>
        <w:rFonts w:hint="default"/>
      </w:rPr>
    </w:lvl>
    <w:lvl w:ilvl="2" w:tplc="95EE6118">
      <w:numFmt w:val="bullet"/>
      <w:lvlText w:val="•"/>
      <w:lvlJc w:val="left"/>
      <w:pPr>
        <w:ind w:left="2640" w:hanging="519"/>
      </w:pPr>
      <w:rPr>
        <w:rFonts w:hint="default"/>
      </w:rPr>
    </w:lvl>
    <w:lvl w:ilvl="3" w:tplc="4BF8B80C">
      <w:numFmt w:val="bullet"/>
      <w:lvlText w:val="•"/>
      <w:lvlJc w:val="left"/>
      <w:pPr>
        <w:ind w:left="3500" w:hanging="519"/>
      </w:pPr>
      <w:rPr>
        <w:rFonts w:hint="default"/>
      </w:rPr>
    </w:lvl>
    <w:lvl w:ilvl="4" w:tplc="59848BB6">
      <w:numFmt w:val="bullet"/>
      <w:lvlText w:val="•"/>
      <w:lvlJc w:val="left"/>
      <w:pPr>
        <w:ind w:left="4360" w:hanging="519"/>
      </w:pPr>
      <w:rPr>
        <w:rFonts w:hint="default"/>
      </w:rPr>
    </w:lvl>
    <w:lvl w:ilvl="5" w:tplc="4620C6C6">
      <w:numFmt w:val="bullet"/>
      <w:lvlText w:val="•"/>
      <w:lvlJc w:val="left"/>
      <w:pPr>
        <w:ind w:left="5220" w:hanging="519"/>
      </w:pPr>
      <w:rPr>
        <w:rFonts w:hint="default"/>
      </w:rPr>
    </w:lvl>
    <w:lvl w:ilvl="6" w:tplc="21785DF4">
      <w:numFmt w:val="bullet"/>
      <w:lvlText w:val="•"/>
      <w:lvlJc w:val="left"/>
      <w:pPr>
        <w:ind w:left="6080" w:hanging="519"/>
      </w:pPr>
      <w:rPr>
        <w:rFonts w:hint="default"/>
      </w:rPr>
    </w:lvl>
    <w:lvl w:ilvl="7" w:tplc="CB285BA0">
      <w:numFmt w:val="bullet"/>
      <w:lvlText w:val="•"/>
      <w:lvlJc w:val="left"/>
      <w:pPr>
        <w:ind w:left="6940" w:hanging="519"/>
      </w:pPr>
      <w:rPr>
        <w:rFonts w:hint="default"/>
      </w:rPr>
    </w:lvl>
    <w:lvl w:ilvl="8" w:tplc="7ED4010E">
      <w:numFmt w:val="bullet"/>
      <w:lvlText w:val="•"/>
      <w:lvlJc w:val="left"/>
      <w:pPr>
        <w:ind w:left="7800" w:hanging="519"/>
      </w:pPr>
      <w:rPr>
        <w:rFonts w:hint="default"/>
      </w:rPr>
    </w:lvl>
  </w:abstractNum>
  <w:abstractNum w:abstractNumId="5" w15:restartNumberingAfterBreak="0">
    <w:nsid w:val="4A782378"/>
    <w:multiLevelType w:val="hybridMultilevel"/>
    <w:tmpl w:val="64D2287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856E9"/>
    <w:multiLevelType w:val="multilevel"/>
    <w:tmpl w:val="0638D548"/>
    <w:lvl w:ilvl="0">
      <w:start w:val="1"/>
      <w:numFmt w:val="decimal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rticle 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rticle 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2040231543">
    <w:abstractNumId w:val="6"/>
  </w:num>
  <w:num w:numId="2" w16cid:durableId="1245459015">
    <w:abstractNumId w:val="6"/>
  </w:num>
  <w:num w:numId="3" w16cid:durableId="937173124">
    <w:abstractNumId w:val="6"/>
  </w:num>
  <w:num w:numId="4" w16cid:durableId="1628583190">
    <w:abstractNumId w:val="0"/>
  </w:num>
  <w:num w:numId="5" w16cid:durableId="134764933">
    <w:abstractNumId w:val="1"/>
  </w:num>
  <w:num w:numId="6" w16cid:durableId="167721110">
    <w:abstractNumId w:val="1"/>
  </w:num>
  <w:num w:numId="7" w16cid:durableId="984117990">
    <w:abstractNumId w:val="1"/>
  </w:num>
  <w:num w:numId="8" w16cid:durableId="906765543">
    <w:abstractNumId w:val="1"/>
  </w:num>
  <w:num w:numId="9" w16cid:durableId="1422219466">
    <w:abstractNumId w:val="1"/>
  </w:num>
  <w:num w:numId="10" w16cid:durableId="2105882002">
    <w:abstractNumId w:val="1"/>
  </w:num>
  <w:num w:numId="11" w16cid:durableId="1492410763">
    <w:abstractNumId w:val="4"/>
  </w:num>
  <w:num w:numId="12" w16cid:durableId="2014600174">
    <w:abstractNumId w:val="2"/>
  </w:num>
  <w:num w:numId="13" w16cid:durableId="724062048">
    <w:abstractNumId w:val="3"/>
  </w:num>
  <w:num w:numId="14" w16cid:durableId="2456523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45"/>
    <w:rsid w:val="00004CF6"/>
    <w:rsid w:val="00023E2E"/>
    <w:rsid w:val="00024B6A"/>
    <w:rsid w:val="00033A5E"/>
    <w:rsid w:val="0003705E"/>
    <w:rsid w:val="00045A97"/>
    <w:rsid w:val="00056C25"/>
    <w:rsid w:val="00062887"/>
    <w:rsid w:val="00074196"/>
    <w:rsid w:val="00092B5F"/>
    <w:rsid w:val="000947C6"/>
    <w:rsid w:val="0009625C"/>
    <w:rsid w:val="000A33E3"/>
    <w:rsid w:val="000B3877"/>
    <w:rsid w:val="000B520F"/>
    <w:rsid w:val="000B638A"/>
    <w:rsid w:val="000D0D3F"/>
    <w:rsid w:val="000D2589"/>
    <w:rsid w:val="000E07A8"/>
    <w:rsid w:val="000E10EC"/>
    <w:rsid w:val="000E258E"/>
    <w:rsid w:val="000E3137"/>
    <w:rsid w:val="000F23B3"/>
    <w:rsid w:val="000F2670"/>
    <w:rsid w:val="000F71D0"/>
    <w:rsid w:val="000F776C"/>
    <w:rsid w:val="00104154"/>
    <w:rsid w:val="00104BB8"/>
    <w:rsid w:val="00111CA8"/>
    <w:rsid w:val="0011204E"/>
    <w:rsid w:val="001214B3"/>
    <w:rsid w:val="00123F9D"/>
    <w:rsid w:val="00133F56"/>
    <w:rsid w:val="001401A5"/>
    <w:rsid w:val="0015237A"/>
    <w:rsid w:val="0017633C"/>
    <w:rsid w:val="001807E8"/>
    <w:rsid w:val="00180C33"/>
    <w:rsid w:val="00180C93"/>
    <w:rsid w:val="001812F6"/>
    <w:rsid w:val="0018443F"/>
    <w:rsid w:val="0018496D"/>
    <w:rsid w:val="00184E88"/>
    <w:rsid w:val="00185586"/>
    <w:rsid w:val="001927B9"/>
    <w:rsid w:val="001A16E1"/>
    <w:rsid w:val="001A3465"/>
    <w:rsid w:val="001A4FC4"/>
    <w:rsid w:val="001A568C"/>
    <w:rsid w:val="001A7EBC"/>
    <w:rsid w:val="001B03F8"/>
    <w:rsid w:val="001C199D"/>
    <w:rsid w:val="001C1F7F"/>
    <w:rsid w:val="001C5C4A"/>
    <w:rsid w:val="001D46BA"/>
    <w:rsid w:val="001D63D5"/>
    <w:rsid w:val="001D66D5"/>
    <w:rsid w:val="001E4DAE"/>
    <w:rsid w:val="001E66BB"/>
    <w:rsid w:val="001F2C5D"/>
    <w:rsid w:val="001F7ABF"/>
    <w:rsid w:val="001F7B9B"/>
    <w:rsid w:val="00201377"/>
    <w:rsid w:val="00201CE4"/>
    <w:rsid w:val="00202E1F"/>
    <w:rsid w:val="00210453"/>
    <w:rsid w:val="00210D62"/>
    <w:rsid w:val="00212359"/>
    <w:rsid w:val="00214BCC"/>
    <w:rsid w:val="00215A1E"/>
    <w:rsid w:val="0021724D"/>
    <w:rsid w:val="00225704"/>
    <w:rsid w:val="0023285C"/>
    <w:rsid w:val="00234331"/>
    <w:rsid w:val="00236CD8"/>
    <w:rsid w:val="002433D5"/>
    <w:rsid w:val="002534C0"/>
    <w:rsid w:val="002543B4"/>
    <w:rsid w:val="00254E38"/>
    <w:rsid w:val="0025589D"/>
    <w:rsid w:val="00256921"/>
    <w:rsid w:val="0026187A"/>
    <w:rsid w:val="00270D6E"/>
    <w:rsid w:val="00276322"/>
    <w:rsid w:val="00281CE0"/>
    <w:rsid w:val="002922DA"/>
    <w:rsid w:val="002949C3"/>
    <w:rsid w:val="00297340"/>
    <w:rsid w:val="002A1570"/>
    <w:rsid w:val="002A322A"/>
    <w:rsid w:val="002B28FF"/>
    <w:rsid w:val="002C0041"/>
    <w:rsid w:val="002C03A3"/>
    <w:rsid w:val="002C7150"/>
    <w:rsid w:val="002D3364"/>
    <w:rsid w:val="002D5A25"/>
    <w:rsid w:val="002E0313"/>
    <w:rsid w:val="002E376F"/>
    <w:rsid w:val="002E5B49"/>
    <w:rsid w:val="00303B06"/>
    <w:rsid w:val="003055DE"/>
    <w:rsid w:val="00320539"/>
    <w:rsid w:val="003207BD"/>
    <w:rsid w:val="00330B91"/>
    <w:rsid w:val="003311EE"/>
    <w:rsid w:val="00333AE4"/>
    <w:rsid w:val="00337D93"/>
    <w:rsid w:val="00343D9F"/>
    <w:rsid w:val="00355F33"/>
    <w:rsid w:val="00361637"/>
    <w:rsid w:val="00361AEB"/>
    <w:rsid w:val="00362BAE"/>
    <w:rsid w:val="00371239"/>
    <w:rsid w:val="00375D24"/>
    <w:rsid w:val="003771AD"/>
    <w:rsid w:val="0037733D"/>
    <w:rsid w:val="00386089"/>
    <w:rsid w:val="003968E4"/>
    <w:rsid w:val="003A09F6"/>
    <w:rsid w:val="003A1F00"/>
    <w:rsid w:val="003A594B"/>
    <w:rsid w:val="003B56EC"/>
    <w:rsid w:val="003D1A19"/>
    <w:rsid w:val="003D7A04"/>
    <w:rsid w:val="003E297C"/>
    <w:rsid w:val="003E47C2"/>
    <w:rsid w:val="003F1AAF"/>
    <w:rsid w:val="003F20CC"/>
    <w:rsid w:val="003F4E94"/>
    <w:rsid w:val="0040427C"/>
    <w:rsid w:val="00405156"/>
    <w:rsid w:val="00416470"/>
    <w:rsid w:val="00433590"/>
    <w:rsid w:val="00443628"/>
    <w:rsid w:val="00445CC2"/>
    <w:rsid w:val="00457284"/>
    <w:rsid w:val="00457EF1"/>
    <w:rsid w:val="004634BA"/>
    <w:rsid w:val="004727CD"/>
    <w:rsid w:val="00474D7A"/>
    <w:rsid w:val="00480607"/>
    <w:rsid w:val="00487E96"/>
    <w:rsid w:val="0049017D"/>
    <w:rsid w:val="00493E1E"/>
    <w:rsid w:val="00495155"/>
    <w:rsid w:val="004A2C99"/>
    <w:rsid w:val="004A5B2A"/>
    <w:rsid w:val="004B5299"/>
    <w:rsid w:val="004C100D"/>
    <w:rsid w:val="004C1B4C"/>
    <w:rsid w:val="004D06FF"/>
    <w:rsid w:val="004D13F2"/>
    <w:rsid w:val="004D2C9C"/>
    <w:rsid w:val="004D73AD"/>
    <w:rsid w:val="00501DCA"/>
    <w:rsid w:val="00504B38"/>
    <w:rsid w:val="00506E80"/>
    <w:rsid w:val="005109B5"/>
    <w:rsid w:val="00511901"/>
    <w:rsid w:val="005130EF"/>
    <w:rsid w:val="00514249"/>
    <w:rsid w:val="00530F01"/>
    <w:rsid w:val="00533049"/>
    <w:rsid w:val="00541465"/>
    <w:rsid w:val="005458F2"/>
    <w:rsid w:val="00550071"/>
    <w:rsid w:val="00566DD4"/>
    <w:rsid w:val="00572615"/>
    <w:rsid w:val="00573CB7"/>
    <w:rsid w:val="0059247B"/>
    <w:rsid w:val="00592E21"/>
    <w:rsid w:val="005B3033"/>
    <w:rsid w:val="005C5B21"/>
    <w:rsid w:val="005D196C"/>
    <w:rsid w:val="005D7379"/>
    <w:rsid w:val="005E1AC3"/>
    <w:rsid w:val="005E2AC2"/>
    <w:rsid w:val="005F4DD1"/>
    <w:rsid w:val="00606284"/>
    <w:rsid w:val="006206D3"/>
    <w:rsid w:val="00627A94"/>
    <w:rsid w:val="00631C2E"/>
    <w:rsid w:val="00633403"/>
    <w:rsid w:val="00642E74"/>
    <w:rsid w:val="00643DA1"/>
    <w:rsid w:val="0065039B"/>
    <w:rsid w:val="006523EF"/>
    <w:rsid w:val="0065575F"/>
    <w:rsid w:val="0065689C"/>
    <w:rsid w:val="0065735F"/>
    <w:rsid w:val="00660BB5"/>
    <w:rsid w:val="00660E65"/>
    <w:rsid w:val="00662229"/>
    <w:rsid w:val="00664B20"/>
    <w:rsid w:val="00664B39"/>
    <w:rsid w:val="00672215"/>
    <w:rsid w:val="006741A7"/>
    <w:rsid w:val="006775F5"/>
    <w:rsid w:val="00686F4A"/>
    <w:rsid w:val="00693E94"/>
    <w:rsid w:val="006952EE"/>
    <w:rsid w:val="006A52F4"/>
    <w:rsid w:val="006B5E1D"/>
    <w:rsid w:val="006B6DA7"/>
    <w:rsid w:val="006C7069"/>
    <w:rsid w:val="006D14C6"/>
    <w:rsid w:val="006D19D3"/>
    <w:rsid w:val="006D6541"/>
    <w:rsid w:val="006E0537"/>
    <w:rsid w:val="006E2174"/>
    <w:rsid w:val="006E265D"/>
    <w:rsid w:val="006E3E2A"/>
    <w:rsid w:val="006E66DB"/>
    <w:rsid w:val="00701BE0"/>
    <w:rsid w:val="0070739D"/>
    <w:rsid w:val="00712E88"/>
    <w:rsid w:val="0072555B"/>
    <w:rsid w:val="00734644"/>
    <w:rsid w:val="0074201E"/>
    <w:rsid w:val="0075214B"/>
    <w:rsid w:val="00772E08"/>
    <w:rsid w:val="0077497A"/>
    <w:rsid w:val="00781A38"/>
    <w:rsid w:val="007822A0"/>
    <w:rsid w:val="0078460C"/>
    <w:rsid w:val="00785491"/>
    <w:rsid w:val="007A01A4"/>
    <w:rsid w:val="007A2F51"/>
    <w:rsid w:val="007A7838"/>
    <w:rsid w:val="007B09A0"/>
    <w:rsid w:val="007B12A4"/>
    <w:rsid w:val="007B2F55"/>
    <w:rsid w:val="007D3894"/>
    <w:rsid w:val="007D73FB"/>
    <w:rsid w:val="008060AA"/>
    <w:rsid w:val="0081021A"/>
    <w:rsid w:val="00813FAC"/>
    <w:rsid w:val="00833D2F"/>
    <w:rsid w:val="00843E5C"/>
    <w:rsid w:val="0085489F"/>
    <w:rsid w:val="00857837"/>
    <w:rsid w:val="0086078E"/>
    <w:rsid w:val="0086493C"/>
    <w:rsid w:val="00866C41"/>
    <w:rsid w:val="00866D16"/>
    <w:rsid w:val="008716C2"/>
    <w:rsid w:val="00873B7C"/>
    <w:rsid w:val="00875DE8"/>
    <w:rsid w:val="00876666"/>
    <w:rsid w:val="008773F1"/>
    <w:rsid w:val="008773FD"/>
    <w:rsid w:val="00877CAD"/>
    <w:rsid w:val="008807F1"/>
    <w:rsid w:val="00881D6C"/>
    <w:rsid w:val="008827BA"/>
    <w:rsid w:val="00882DBE"/>
    <w:rsid w:val="0088563C"/>
    <w:rsid w:val="00886712"/>
    <w:rsid w:val="0089115C"/>
    <w:rsid w:val="0089367B"/>
    <w:rsid w:val="008A0A6D"/>
    <w:rsid w:val="008A3E3E"/>
    <w:rsid w:val="008B2B1D"/>
    <w:rsid w:val="008C6F15"/>
    <w:rsid w:val="008E2E5B"/>
    <w:rsid w:val="008F375C"/>
    <w:rsid w:val="008F79AA"/>
    <w:rsid w:val="008F7FB6"/>
    <w:rsid w:val="00903AAC"/>
    <w:rsid w:val="009057CB"/>
    <w:rsid w:val="00910AEA"/>
    <w:rsid w:val="0091690C"/>
    <w:rsid w:val="009233E3"/>
    <w:rsid w:val="0092578F"/>
    <w:rsid w:val="00933849"/>
    <w:rsid w:val="00946FED"/>
    <w:rsid w:val="0094760E"/>
    <w:rsid w:val="0095075E"/>
    <w:rsid w:val="00953B41"/>
    <w:rsid w:val="0096212F"/>
    <w:rsid w:val="009640D2"/>
    <w:rsid w:val="009706BF"/>
    <w:rsid w:val="009766F9"/>
    <w:rsid w:val="00976B15"/>
    <w:rsid w:val="00981243"/>
    <w:rsid w:val="0098257B"/>
    <w:rsid w:val="00995640"/>
    <w:rsid w:val="009A0E62"/>
    <w:rsid w:val="009B529D"/>
    <w:rsid w:val="009C47A3"/>
    <w:rsid w:val="009C56F3"/>
    <w:rsid w:val="009E1B90"/>
    <w:rsid w:val="009F00EF"/>
    <w:rsid w:val="009F1805"/>
    <w:rsid w:val="009F2364"/>
    <w:rsid w:val="009F4940"/>
    <w:rsid w:val="00A115C5"/>
    <w:rsid w:val="00A20246"/>
    <w:rsid w:val="00A228FA"/>
    <w:rsid w:val="00A23E88"/>
    <w:rsid w:val="00A27032"/>
    <w:rsid w:val="00A35DF1"/>
    <w:rsid w:val="00A41465"/>
    <w:rsid w:val="00A46464"/>
    <w:rsid w:val="00A62397"/>
    <w:rsid w:val="00A64366"/>
    <w:rsid w:val="00A80827"/>
    <w:rsid w:val="00A91157"/>
    <w:rsid w:val="00A953A8"/>
    <w:rsid w:val="00AA68D5"/>
    <w:rsid w:val="00AB3CC2"/>
    <w:rsid w:val="00AB626F"/>
    <w:rsid w:val="00AC21D0"/>
    <w:rsid w:val="00AC77C2"/>
    <w:rsid w:val="00AD7645"/>
    <w:rsid w:val="00B01026"/>
    <w:rsid w:val="00B027AB"/>
    <w:rsid w:val="00B04354"/>
    <w:rsid w:val="00B10763"/>
    <w:rsid w:val="00B133D9"/>
    <w:rsid w:val="00B221F6"/>
    <w:rsid w:val="00B269B1"/>
    <w:rsid w:val="00B27AA7"/>
    <w:rsid w:val="00B3528C"/>
    <w:rsid w:val="00B40CA2"/>
    <w:rsid w:val="00B45EA3"/>
    <w:rsid w:val="00B462B0"/>
    <w:rsid w:val="00B51EE8"/>
    <w:rsid w:val="00B63AF5"/>
    <w:rsid w:val="00B75BDF"/>
    <w:rsid w:val="00B83845"/>
    <w:rsid w:val="00B8491C"/>
    <w:rsid w:val="00B94C6D"/>
    <w:rsid w:val="00B97D3C"/>
    <w:rsid w:val="00BA3306"/>
    <w:rsid w:val="00BA3F49"/>
    <w:rsid w:val="00BA4B80"/>
    <w:rsid w:val="00BB0448"/>
    <w:rsid w:val="00BB53CA"/>
    <w:rsid w:val="00BB6AB5"/>
    <w:rsid w:val="00BC0699"/>
    <w:rsid w:val="00BC47BC"/>
    <w:rsid w:val="00BC4C19"/>
    <w:rsid w:val="00BC4E5E"/>
    <w:rsid w:val="00BD0BD9"/>
    <w:rsid w:val="00BD0EAC"/>
    <w:rsid w:val="00BD4062"/>
    <w:rsid w:val="00BE4792"/>
    <w:rsid w:val="00BF0FA4"/>
    <w:rsid w:val="00C065CD"/>
    <w:rsid w:val="00C1357A"/>
    <w:rsid w:val="00C24B1D"/>
    <w:rsid w:val="00C441EE"/>
    <w:rsid w:val="00C46B2B"/>
    <w:rsid w:val="00C477B3"/>
    <w:rsid w:val="00C5606D"/>
    <w:rsid w:val="00C64041"/>
    <w:rsid w:val="00C912FD"/>
    <w:rsid w:val="00CA2765"/>
    <w:rsid w:val="00CA469D"/>
    <w:rsid w:val="00CB426C"/>
    <w:rsid w:val="00CC6616"/>
    <w:rsid w:val="00CD4EA2"/>
    <w:rsid w:val="00CE4EF3"/>
    <w:rsid w:val="00CE77CF"/>
    <w:rsid w:val="00CF47B7"/>
    <w:rsid w:val="00D00F86"/>
    <w:rsid w:val="00D0266E"/>
    <w:rsid w:val="00D1715A"/>
    <w:rsid w:val="00D218B4"/>
    <w:rsid w:val="00D24441"/>
    <w:rsid w:val="00D2631D"/>
    <w:rsid w:val="00D30774"/>
    <w:rsid w:val="00D32E2F"/>
    <w:rsid w:val="00D33864"/>
    <w:rsid w:val="00D40B28"/>
    <w:rsid w:val="00D41043"/>
    <w:rsid w:val="00D476A8"/>
    <w:rsid w:val="00D4795B"/>
    <w:rsid w:val="00D519CD"/>
    <w:rsid w:val="00D5706D"/>
    <w:rsid w:val="00D604AA"/>
    <w:rsid w:val="00D61E5A"/>
    <w:rsid w:val="00D62F9B"/>
    <w:rsid w:val="00D65786"/>
    <w:rsid w:val="00DA0859"/>
    <w:rsid w:val="00DA7CE5"/>
    <w:rsid w:val="00DB368B"/>
    <w:rsid w:val="00DC20F8"/>
    <w:rsid w:val="00DC6284"/>
    <w:rsid w:val="00DF3A71"/>
    <w:rsid w:val="00DF45AF"/>
    <w:rsid w:val="00E01CDB"/>
    <w:rsid w:val="00E0542E"/>
    <w:rsid w:val="00E11D22"/>
    <w:rsid w:val="00E1477E"/>
    <w:rsid w:val="00E20FDF"/>
    <w:rsid w:val="00E309E0"/>
    <w:rsid w:val="00E316DB"/>
    <w:rsid w:val="00E32E0E"/>
    <w:rsid w:val="00E34A23"/>
    <w:rsid w:val="00E35DD2"/>
    <w:rsid w:val="00E44A2B"/>
    <w:rsid w:val="00E47579"/>
    <w:rsid w:val="00E5095E"/>
    <w:rsid w:val="00E54499"/>
    <w:rsid w:val="00E60C18"/>
    <w:rsid w:val="00E62A2C"/>
    <w:rsid w:val="00E64B1D"/>
    <w:rsid w:val="00E71EF5"/>
    <w:rsid w:val="00E766C6"/>
    <w:rsid w:val="00E842EB"/>
    <w:rsid w:val="00E85CD1"/>
    <w:rsid w:val="00E85E33"/>
    <w:rsid w:val="00E916D2"/>
    <w:rsid w:val="00E95140"/>
    <w:rsid w:val="00E9760B"/>
    <w:rsid w:val="00EA2489"/>
    <w:rsid w:val="00EA4FB3"/>
    <w:rsid w:val="00EA5035"/>
    <w:rsid w:val="00EA5138"/>
    <w:rsid w:val="00EB6ED8"/>
    <w:rsid w:val="00EB7AF3"/>
    <w:rsid w:val="00ED14C5"/>
    <w:rsid w:val="00ED453B"/>
    <w:rsid w:val="00ED4E26"/>
    <w:rsid w:val="00ED5657"/>
    <w:rsid w:val="00EF135F"/>
    <w:rsid w:val="00F0327D"/>
    <w:rsid w:val="00F058FB"/>
    <w:rsid w:val="00F11AB6"/>
    <w:rsid w:val="00F127C2"/>
    <w:rsid w:val="00F17492"/>
    <w:rsid w:val="00F22A8E"/>
    <w:rsid w:val="00F307DF"/>
    <w:rsid w:val="00F41301"/>
    <w:rsid w:val="00F420E7"/>
    <w:rsid w:val="00F52F4A"/>
    <w:rsid w:val="00F636F5"/>
    <w:rsid w:val="00F64CF2"/>
    <w:rsid w:val="00F73982"/>
    <w:rsid w:val="00F75536"/>
    <w:rsid w:val="00F84257"/>
    <w:rsid w:val="00F85B96"/>
    <w:rsid w:val="00F86C77"/>
    <w:rsid w:val="00F93CDA"/>
    <w:rsid w:val="00FA058A"/>
    <w:rsid w:val="00FA6E95"/>
    <w:rsid w:val="00FB7A4D"/>
    <w:rsid w:val="00FC05A0"/>
    <w:rsid w:val="00FC1433"/>
    <w:rsid w:val="00FD0169"/>
    <w:rsid w:val="00FD2B11"/>
    <w:rsid w:val="00FD7B4A"/>
    <w:rsid w:val="00FE18DC"/>
    <w:rsid w:val="00FE3839"/>
    <w:rsid w:val="00FE75D1"/>
    <w:rsid w:val="00FF1BEE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6DDD5EC"/>
  <w15:chartTrackingRefBased/>
  <w15:docId w15:val="{C4F423BA-A15D-46E6-805F-790811D9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8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34644"/>
    <w:pPr>
      <w:keepNext/>
      <w:keepLines/>
      <w:numPr>
        <w:numId w:val="12"/>
      </w:numPr>
      <w:tabs>
        <w:tab w:val="left" w:pos="928"/>
      </w:tabs>
      <w:spacing w:before="280"/>
      <w:jc w:val="both"/>
      <w:outlineLvl w:val="0"/>
    </w:pPr>
    <w:rPr>
      <w:rFonts w:ascii="Georgia" w:eastAsiaTheme="majorEastAsia" w:hAnsi="Georgia" w:cstheme="majorBidi"/>
      <w:b/>
      <w:bCs/>
      <w:caps/>
      <w:sz w:val="20"/>
      <w:szCs w:val="20"/>
      <w:lang w:val="fr-FR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60BB5"/>
    <w:pPr>
      <w:keepNext/>
      <w:keepLines/>
      <w:numPr>
        <w:ilvl w:val="1"/>
        <w:numId w:val="10"/>
      </w:numPr>
      <w:tabs>
        <w:tab w:val="left" w:pos="1701"/>
      </w:tabs>
      <w:spacing w:before="200"/>
      <w:jc w:val="both"/>
      <w:outlineLvl w:val="1"/>
    </w:pPr>
    <w:rPr>
      <w:rFonts w:eastAsiaTheme="majorEastAsia" w:cstheme="majorBidi"/>
      <w:b/>
      <w:color w:val="595959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1"/>
    <w:unhideWhenUsed/>
    <w:qFormat/>
    <w:rsid w:val="00660BB5"/>
    <w:pPr>
      <w:keepNext/>
      <w:keepLines/>
      <w:numPr>
        <w:ilvl w:val="2"/>
        <w:numId w:val="10"/>
      </w:numPr>
      <w:spacing w:before="40"/>
      <w:jc w:val="both"/>
      <w:outlineLvl w:val="2"/>
    </w:pPr>
    <w:rPr>
      <w:rFonts w:eastAsiaTheme="majorEastAsia" w:cstheme="majorBidi"/>
      <w:b/>
      <w:color w:val="595959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838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838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8384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8384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8384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8384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4644"/>
    <w:rPr>
      <w:rFonts w:ascii="Georgia" w:eastAsiaTheme="majorEastAsia" w:hAnsi="Georgia" w:cstheme="majorBidi"/>
      <w:b/>
      <w:bCs/>
      <w:caps/>
      <w:kern w:val="0"/>
      <w:sz w:val="20"/>
      <w:szCs w:val="20"/>
      <w14:ligatures w14:val="none"/>
    </w:rPr>
  </w:style>
  <w:style w:type="character" w:customStyle="1" w:styleId="Titre2Car">
    <w:name w:val="Titre 2 Car"/>
    <w:basedOn w:val="Policepardfaut"/>
    <w:link w:val="Titre2"/>
    <w:uiPriority w:val="1"/>
    <w:rsid w:val="00660BB5"/>
    <w:rPr>
      <w:rFonts w:ascii="Georgia" w:eastAsiaTheme="majorEastAsia" w:hAnsi="Georgia" w:cstheme="majorBidi"/>
      <w:b/>
      <w:color w:val="595959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660BB5"/>
    <w:rPr>
      <w:rFonts w:ascii="Georgia" w:eastAsiaTheme="majorEastAsia" w:hAnsi="Georgia" w:cstheme="majorBidi"/>
      <w:b/>
      <w:color w:val="595959"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B83845"/>
    <w:rPr>
      <w:rFonts w:eastAsiaTheme="majorEastAsia" w:cstheme="majorBidi"/>
      <w:i/>
      <w:iCs/>
      <w:color w:val="2E74B5" w:themeColor="accent1" w:themeShade="BF"/>
      <w:sz w:val="20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B83845"/>
    <w:rPr>
      <w:rFonts w:eastAsiaTheme="majorEastAsia" w:cstheme="majorBidi"/>
      <w:color w:val="2E74B5" w:themeColor="accent1" w:themeShade="BF"/>
      <w:sz w:val="20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B83845"/>
    <w:rPr>
      <w:rFonts w:eastAsiaTheme="majorEastAsia" w:cstheme="majorBidi"/>
      <w:i/>
      <w:iCs/>
      <w:color w:val="595959" w:themeColor="text1" w:themeTint="A6"/>
      <w:sz w:val="20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B83845"/>
    <w:rPr>
      <w:rFonts w:eastAsiaTheme="majorEastAsia" w:cstheme="majorBidi"/>
      <w:color w:val="595959" w:themeColor="text1" w:themeTint="A6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B83845"/>
    <w:rPr>
      <w:rFonts w:eastAsiaTheme="majorEastAsia" w:cstheme="majorBidi"/>
      <w:i/>
      <w:iCs/>
      <w:color w:val="272727" w:themeColor="text1" w:themeTint="D8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B83845"/>
    <w:rPr>
      <w:rFonts w:eastAsiaTheme="majorEastAsia" w:cstheme="majorBidi"/>
      <w:color w:val="272727" w:themeColor="text1" w:themeTint="D8"/>
      <w:sz w:val="20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B838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83845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8384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83845"/>
    <w:rPr>
      <w:rFonts w:eastAsiaTheme="majorEastAsia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B838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83845"/>
    <w:rPr>
      <w:rFonts w:ascii="Georgia" w:eastAsiaTheme="minorEastAsia" w:hAnsi="Georgia"/>
      <w:i/>
      <w:iCs/>
      <w:color w:val="404040" w:themeColor="text1" w:themeTint="BF"/>
      <w:sz w:val="20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838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83845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838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83845"/>
    <w:rPr>
      <w:rFonts w:ascii="Georgia" w:eastAsiaTheme="minorEastAsia" w:hAnsi="Georgia"/>
      <w:i/>
      <w:iCs/>
      <w:color w:val="2E74B5" w:themeColor="accent1" w:themeShade="BF"/>
      <w:sz w:val="20"/>
      <w:szCs w:val="24"/>
      <w:lang w:eastAsia="fr-FR"/>
    </w:rPr>
  </w:style>
  <w:style w:type="character" w:styleId="Rfrenceintense">
    <w:name w:val="Intense Reference"/>
    <w:basedOn w:val="Policepardfaut"/>
    <w:uiPriority w:val="32"/>
    <w:qFormat/>
    <w:rsid w:val="00B83845"/>
    <w:rPr>
      <w:b/>
      <w:bCs/>
      <w:smallCaps/>
      <w:color w:val="2E74B5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1"/>
    <w:qFormat/>
    <w:rsid w:val="00B83845"/>
  </w:style>
  <w:style w:type="character" w:customStyle="1" w:styleId="CorpsdetexteCar">
    <w:name w:val="Corps de texte Car"/>
    <w:basedOn w:val="Policepardfaut"/>
    <w:link w:val="Corpsdetexte"/>
    <w:uiPriority w:val="1"/>
    <w:rsid w:val="00B83845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B838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3845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customStyle="1" w:styleId="Grilledutableau1">
    <w:name w:val="Grille du tableau1"/>
    <w:basedOn w:val="TableauNormal"/>
    <w:next w:val="Grilledutableau"/>
    <w:uiPriority w:val="39"/>
    <w:rsid w:val="00B83845"/>
    <w:pPr>
      <w:spacing w:after="0" w:line="240" w:lineRule="auto"/>
    </w:pPr>
    <w:rPr>
      <w:rFonts w:ascii="Georgia" w:hAnsi="Georgia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8384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B838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3845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MELES;OG</dc:creator>
  <cp:keywords/>
  <dc:description/>
  <cp:lastModifiedBy>Stephanie JOLY</cp:lastModifiedBy>
  <cp:revision>10</cp:revision>
  <cp:lastPrinted>2024-10-24T14:56:00Z</cp:lastPrinted>
  <dcterms:created xsi:type="dcterms:W3CDTF">2025-12-15T18:00:00Z</dcterms:created>
  <dcterms:modified xsi:type="dcterms:W3CDTF">2025-12-17T10:35:00Z</dcterms:modified>
</cp:coreProperties>
</file>